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3F" w:rsidRPr="00EA20E3" w:rsidRDefault="0039113F" w:rsidP="00106E2D">
      <w:pPr>
        <w:tabs>
          <w:tab w:val="left" w:pos="1182"/>
          <w:tab w:val="left" w:pos="6317"/>
          <w:tab w:val="right" w:pos="9639"/>
        </w:tabs>
        <w:spacing w:before="120" w:after="120" w:line="360" w:lineRule="auto"/>
        <w:rPr>
          <w:b/>
          <w:sz w:val="24"/>
          <w:szCs w:val="24"/>
        </w:rPr>
      </w:pPr>
      <w:r w:rsidRPr="00EA20E3">
        <w:rPr>
          <w:b/>
          <w:sz w:val="24"/>
          <w:szCs w:val="24"/>
        </w:rPr>
        <w:tab/>
      </w:r>
      <w:r w:rsidRPr="00EA20E3">
        <w:rPr>
          <w:b/>
          <w:sz w:val="24"/>
          <w:szCs w:val="24"/>
        </w:rPr>
        <w:tab/>
      </w:r>
    </w:p>
    <w:p w:rsidR="0039113F" w:rsidRPr="00AF3824" w:rsidRDefault="0039113F" w:rsidP="00106E2D">
      <w:pPr>
        <w:pStyle w:val="IntenseQuote"/>
        <w:spacing w:before="120" w:after="120" w:line="360" w:lineRule="auto"/>
        <w:rPr>
          <w:sz w:val="36"/>
          <w:szCs w:val="36"/>
        </w:rPr>
      </w:pPr>
      <w:r w:rsidRPr="00AF3824">
        <w:rPr>
          <w:sz w:val="36"/>
          <w:szCs w:val="36"/>
        </w:rPr>
        <w:t>Πανελλαδική έρευνα της RE/MAX Ελλάς</w:t>
      </w:r>
      <w:r w:rsidR="00AC4256" w:rsidRPr="00AF3824">
        <w:rPr>
          <w:sz w:val="36"/>
          <w:szCs w:val="36"/>
        </w:rPr>
        <w:t xml:space="preserve"> </w:t>
      </w:r>
      <w:r w:rsidR="00EA20E3" w:rsidRPr="00AF3824">
        <w:rPr>
          <w:sz w:val="36"/>
          <w:szCs w:val="36"/>
        </w:rPr>
        <w:t>για</w:t>
      </w:r>
      <w:r w:rsidR="002B2047">
        <w:rPr>
          <w:sz w:val="36"/>
          <w:szCs w:val="36"/>
        </w:rPr>
        <w:t xml:space="preserve"> κατηγορίες και ηλικιακό </w:t>
      </w:r>
      <w:r w:rsidR="00EA20E3" w:rsidRPr="00AF3824">
        <w:rPr>
          <w:sz w:val="36"/>
          <w:szCs w:val="36"/>
        </w:rPr>
        <w:t>προφίλ</w:t>
      </w:r>
      <w:r w:rsidR="002B2047">
        <w:rPr>
          <w:sz w:val="36"/>
          <w:szCs w:val="36"/>
        </w:rPr>
        <w:t xml:space="preserve"> </w:t>
      </w:r>
      <w:r w:rsidR="00EA20E3" w:rsidRPr="00AF3824">
        <w:rPr>
          <w:sz w:val="36"/>
          <w:szCs w:val="36"/>
        </w:rPr>
        <w:t>ακινήτ</w:t>
      </w:r>
      <w:r w:rsidR="002B2047">
        <w:rPr>
          <w:sz w:val="36"/>
          <w:szCs w:val="36"/>
        </w:rPr>
        <w:t>ων</w:t>
      </w:r>
    </w:p>
    <w:p w:rsidR="00261753" w:rsidRDefault="008B24A1" w:rsidP="00106E2D">
      <w:pPr>
        <w:tabs>
          <w:tab w:val="right" w:pos="9639"/>
        </w:tabs>
        <w:spacing w:before="120" w:after="12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Περισσότερα από 8 στα 10 ακίνητα που πωλήθηκαν στην Ελλάδα το περασμένο έτος</w:t>
      </w:r>
      <w:r w:rsidR="00DB5D2F">
        <w:rPr>
          <w:sz w:val="24"/>
          <w:szCs w:val="24"/>
        </w:rPr>
        <w:t xml:space="preserve"> αφορούσαν</w:t>
      </w:r>
      <w:r>
        <w:rPr>
          <w:sz w:val="24"/>
          <w:szCs w:val="24"/>
        </w:rPr>
        <w:t xml:space="preserve"> διαμερίσματα, μονοκατοικίες ή μεζονέτες</w:t>
      </w:r>
      <w:r w:rsidR="00DB5D2F">
        <w:rPr>
          <w:sz w:val="24"/>
          <w:szCs w:val="24"/>
        </w:rPr>
        <w:t xml:space="preserve"> και πολύ</w:t>
      </w:r>
      <w:r>
        <w:rPr>
          <w:sz w:val="24"/>
          <w:szCs w:val="24"/>
        </w:rPr>
        <w:t xml:space="preserve"> μικρότερο ποσοστό </w:t>
      </w:r>
      <w:r w:rsidR="00261753">
        <w:rPr>
          <w:sz w:val="24"/>
          <w:szCs w:val="24"/>
        </w:rPr>
        <w:t>επαγγελματικά ακίνητα (γραφεία, καταστήματα</w:t>
      </w:r>
      <w:r w:rsidR="00EA0B10">
        <w:rPr>
          <w:sz w:val="24"/>
          <w:szCs w:val="24"/>
        </w:rPr>
        <w:t>) και οικόπεδα</w:t>
      </w:r>
      <w:r w:rsidR="00EA0B10" w:rsidRPr="00EA0B10">
        <w:rPr>
          <w:sz w:val="24"/>
          <w:szCs w:val="24"/>
        </w:rPr>
        <w:t>-</w:t>
      </w:r>
      <w:r w:rsidR="00EA0B10">
        <w:rPr>
          <w:sz w:val="24"/>
          <w:szCs w:val="24"/>
        </w:rPr>
        <w:t>αγροτεμάχια. Το γεγονός αυτό</w:t>
      </w:r>
      <w:r w:rsidR="00261753">
        <w:rPr>
          <w:sz w:val="24"/>
          <w:szCs w:val="24"/>
        </w:rPr>
        <w:t xml:space="preserve"> αναδεικνύει </w:t>
      </w:r>
      <w:r w:rsidR="00DB5D2F">
        <w:rPr>
          <w:sz w:val="24"/>
          <w:szCs w:val="24"/>
        </w:rPr>
        <w:t xml:space="preserve">ότι </w:t>
      </w:r>
      <w:r w:rsidR="00261753">
        <w:rPr>
          <w:sz w:val="24"/>
          <w:szCs w:val="24"/>
        </w:rPr>
        <w:t xml:space="preserve">τον τελευταίο χρόνο </w:t>
      </w:r>
      <w:r w:rsidR="00EA0B10">
        <w:rPr>
          <w:sz w:val="24"/>
          <w:szCs w:val="24"/>
        </w:rPr>
        <w:t xml:space="preserve">που μπορεί </w:t>
      </w:r>
      <w:r w:rsidR="00EA1598" w:rsidRPr="00EA1598">
        <w:rPr>
          <w:color w:val="000000"/>
          <w:sz w:val="24"/>
          <w:szCs w:val="24"/>
          <w:shd w:val="clear" w:color="auto" w:fill="FFFFFF"/>
        </w:rPr>
        <w:t xml:space="preserve">η πανδημία και τα περιοριστικά μέτρα </w:t>
      </w:r>
      <w:r w:rsidR="00EA0B10">
        <w:rPr>
          <w:color w:val="000000"/>
          <w:sz w:val="24"/>
          <w:szCs w:val="24"/>
          <w:shd w:val="clear" w:color="auto" w:fill="FFFFFF"/>
        </w:rPr>
        <w:t xml:space="preserve">να </w:t>
      </w:r>
      <w:r w:rsidR="00EA1598" w:rsidRPr="00EA1598">
        <w:rPr>
          <w:color w:val="000000"/>
          <w:sz w:val="24"/>
          <w:szCs w:val="24"/>
          <w:shd w:val="clear" w:color="auto" w:fill="FFFFFF"/>
        </w:rPr>
        <w:t>άλλαξαν τις καθημερινές ανάγκες των πολιτών</w:t>
      </w:r>
      <w:r w:rsidR="00EA0B10">
        <w:rPr>
          <w:color w:val="000000"/>
          <w:sz w:val="24"/>
          <w:szCs w:val="24"/>
          <w:shd w:val="clear" w:color="auto" w:fill="FFFFFF"/>
        </w:rPr>
        <w:t xml:space="preserve">, </w:t>
      </w:r>
      <w:r w:rsidR="00261753">
        <w:rPr>
          <w:color w:val="000000"/>
          <w:sz w:val="24"/>
          <w:szCs w:val="24"/>
          <w:shd w:val="clear" w:color="auto" w:fill="FFFFFF"/>
        </w:rPr>
        <w:t xml:space="preserve">για μία ακόμη χρονιά ως πρώτη επιλογή αγοράς - επένδυσης </w:t>
      </w:r>
      <w:r w:rsidR="00DB5D2F">
        <w:rPr>
          <w:color w:val="000000"/>
          <w:sz w:val="24"/>
          <w:szCs w:val="24"/>
          <w:shd w:val="clear" w:color="auto" w:fill="FFFFFF"/>
        </w:rPr>
        <w:t xml:space="preserve">αποτέλεσε η </w:t>
      </w:r>
      <w:r w:rsidR="00261753">
        <w:rPr>
          <w:color w:val="000000"/>
          <w:sz w:val="24"/>
          <w:szCs w:val="24"/>
          <w:shd w:val="clear" w:color="auto" w:fill="FFFFFF"/>
        </w:rPr>
        <w:t xml:space="preserve">κατοικία. </w:t>
      </w:r>
      <w:r w:rsidR="00E636FC">
        <w:rPr>
          <w:color w:val="000000"/>
          <w:sz w:val="24"/>
          <w:szCs w:val="24"/>
          <w:shd w:val="clear" w:color="auto" w:fill="FFFFFF"/>
        </w:rPr>
        <w:t>Την ίδια στιγμή 6 στους 10 αγοραστές κατοικιών επέλεξαν παλαιά ακίνητα ηλικίας άνω των 30 ετών.</w:t>
      </w:r>
    </w:p>
    <w:p w:rsidR="00EA1598" w:rsidRPr="00EA1598" w:rsidRDefault="00261753" w:rsidP="00106E2D">
      <w:pPr>
        <w:tabs>
          <w:tab w:val="right" w:pos="9639"/>
        </w:tabs>
        <w:spacing w:before="120" w:after="12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Όπως προκύπτει από τα στοιχεί</w:t>
      </w:r>
      <w:r w:rsidR="00843F0D">
        <w:rPr>
          <w:color w:val="000000"/>
          <w:sz w:val="24"/>
          <w:szCs w:val="24"/>
          <w:shd w:val="clear" w:color="auto" w:fill="FFFFFF"/>
        </w:rPr>
        <w:t xml:space="preserve">α πώλησης ακινήτων που πραγματοποιήθηκαν μέσω της </w:t>
      </w:r>
      <w:r w:rsidR="00843F0D" w:rsidRPr="005A3880">
        <w:rPr>
          <w:color w:val="000000"/>
          <w:sz w:val="24"/>
          <w:szCs w:val="24"/>
          <w:shd w:val="clear" w:color="auto" w:fill="FFFFFF"/>
        </w:rPr>
        <w:t>RE</w:t>
      </w:r>
      <w:r w:rsidR="00843F0D" w:rsidRPr="00843F0D">
        <w:rPr>
          <w:color w:val="000000"/>
          <w:sz w:val="24"/>
          <w:szCs w:val="24"/>
          <w:shd w:val="clear" w:color="auto" w:fill="FFFFFF"/>
        </w:rPr>
        <w:t>/</w:t>
      </w:r>
      <w:r w:rsidR="00843F0D" w:rsidRPr="005A3880">
        <w:rPr>
          <w:color w:val="000000"/>
          <w:sz w:val="24"/>
          <w:szCs w:val="24"/>
          <w:shd w:val="clear" w:color="auto" w:fill="FFFFFF"/>
        </w:rPr>
        <w:t>MAX</w:t>
      </w:r>
      <w:r w:rsidR="005A3880">
        <w:rPr>
          <w:color w:val="000000"/>
          <w:sz w:val="24"/>
          <w:szCs w:val="24"/>
          <w:shd w:val="clear" w:color="auto" w:fill="FFFFFF"/>
        </w:rPr>
        <w:t xml:space="preserve"> Ε</w:t>
      </w:r>
      <w:r w:rsidR="00EA0B10">
        <w:rPr>
          <w:color w:val="000000"/>
          <w:sz w:val="24"/>
          <w:szCs w:val="24"/>
          <w:shd w:val="clear" w:color="auto" w:fill="FFFFFF"/>
        </w:rPr>
        <w:t>λλάς</w:t>
      </w:r>
      <w:r w:rsidR="00843F0D" w:rsidRPr="00843F0D">
        <w:rPr>
          <w:color w:val="000000"/>
          <w:sz w:val="24"/>
          <w:szCs w:val="24"/>
          <w:shd w:val="clear" w:color="auto" w:fill="FFFFFF"/>
        </w:rPr>
        <w:t xml:space="preserve">, </w:t>
      </w:r>
      <w:r w:rsidR="00843F0D">
        <w:rPr>
          <w:color w:val="000000"/>
          <w:sz w:val="24"/>
          <w:szCs w:val="24"/>
          <w:shd w:val="clear" w:color="auto" w:fill="FFFFFF"/>
        </w:rPr>
        <w:t>του μεγαλύτερου κτηματομεσιτικού δικτύου στη</w:t>
      </w:r>
      <w:r w:rsidR="005A3880">
        <w:rPr>
          <w:color w:val="000000"/>
          <w:sz w:val="24"/>
          <w:szCs w:val="24"/>
          <w:shd w:val="clear" w:color="auto" w:fill="FFFFFF"/>
        </w:rPr>
        <w:t xml:space="preserve"> χώρα</w:t>
      </w:r>
      <w:r w:rsidR="00843F0D">
        <w:rPr>
          <w:color w:val="000000"/>
          <w:sz w:val="24"/>
          <w:szCs w:val="24"/>
          <w:shd w:val="clear" w:color="auto" w:fill="FFFFFF"/>
        </w:rPr>
        <w:t>, τ</w:t>
      </w:r>
      <w:r w:rsidR="00EA1598" w:rsidRPr="00EA1598">
        <w:rPr>
          <w:color w:val="000000"/>
          <w:sz w:val="24"/>
          <w:szCs w:val="24"/>
          <w:shd w:val="clear" w:color="auto" w:fill="FFFFFF"/>
        </w:rPr>
        <w:t xml:space="preserve">ο σπίτι δεν είναι απλά το «καταφύγιο» αλλά και ο χώρος ψυχαγωγίας και εργασίας, γεγονός που ώθησε αρκετούς </w:t>
      </w:r>
      <w:r w:rsidR="00EA1598" w:rsidRPr="005A3880">
        <w:rPr>
          <w:color w:val="000000"/>
          <w:sz w:val="24"/>
          <w:szCs w:val="24"/>
          <w:shd w:val="clear" w:color="auto" w:fill="FFFFFF"/>
        </w:rPr>
        <w:t>κατοίκους των μεγάλων πόλεων και ιδιαίτερα όσων μένουν σ</w:t>
      </w:r>
      <w:r w:rsidR="00843F0D" w:rsidRPr="005A3880">
        <w:rPr>
          <w:color w:val="000000"/>
          <w:sz w:val="24"/>
          <w:szCs w:val="24"/>
          <w:shd w:val="clear" w:color="auto" w:fill="FFFFFF"/>
        </w:rPr>
        <w:t>ε κεντρικά σημεία αυτών να α</w:t>
      </w:r>
      <w:r w:rsidR="00EA1598" w:rsidRPr="005A3880">
        <w:rPr>
          <w:color w:val="000000"/>
          <w:sz w:val="24"/>
          <w:szCs w:val="24"/>
          <w:shd w:val="clear" w:color="auto" w:fill="FFFFFF"/>
        </w:rPr>
        <w:t>ναζ</w:t>
      </w:r>
      <w:r w:rsidR="00843F0D" w:rsidRPr="005A3880">
        <w:rPr>
          <w:color w:val="000000"/>
          <w:sz w:val="24"/>
          <w:szCs w:val="24"/>
          <w:shd w:val="clear" w:color="auto" w:fill="FFFFFF"/>
        </w:rPr>
        <w:t xml:space="preserve">ητήσουν </w:t>
      </w:r>
      <w:r w:rsidR="00EA1598" w:rsidRPr="005A3880">
        <w:rPr>
          <w:color w:val="000000"/>
          <w:sz w:val="24"/>
          <w:szCs w:val="24"/>
          <w:shd w:val="clear" w:color="auto" w:fill="FFFFFF"/>
        </w:rPr>
        <w:t>κατοικί</w:t>
      </w:r>
      <w:r w:rsidR="00843F0D" w:rsidRPr="005A3880">
        <w:rPr>
          <w:color w:val="000000"/>
          <w:sz w:val="24"/>
          <w:szCs w:val="24"/>
          <w:shd w:val="clear" w:color="auto" w:fill="FFFFFF"/>
        </w:rPr>
        <w:t>ες</w:t>
      </w:r>
      <w:r w:rsidR="00EA1598" w:rsidRPr="005A3880">
        <w:rPr>
          <w:color w:val="000000"/>
          <w:sz w:val="24"/>
          <w:szCs w:val="24"/>
          <w:shd w:val="clear" w:color="auto" w:fill="FFFFFF"/>
        </w:rPr>
        <w:t xml:space="preserve"> με μεγαλύτερους χώρους.</w:t>
      </w:r>
    </w:p>
    <w:p w:rsidR="00EA0B10" w:rsidRDefault="0050198D" w:rsidP="00106E2D">
      <w:pPr>
        <w:tabs>
          <w:tab w:val="right" w:pos="9639"/>
        </w:tabs>
        <w:spacing w:before="120" w:after="120" w:line="360" w:lineRule="auto"/>
        <w:rPr>
          <w:color w:val="000000"/>
          <w:sz w:val="24"/>
          <w:szCs w:val="24"/>
          <w:shd w:val="clear" w:color="auto" w:fill="FFFFFF"/>
        </w:rPr>
      </w:pPr>
      <w:r w:rsidRPr="005A3880">
        <w:rPr>
          <w:color w:val="000000"/>
          <w:sz w:val="24"/>
          <w:szCs w:val="24"/>
          <w:shd w:val="clear" w:color="auto" w:fill="FFFFFF"/>
        </w:rPr>
        <w:t xml:space="preserve">Ιδιαίτερο ενδιαφέρον έχουν τα στοιχεία του δικτύου της RE/MAX για το είδος των ακινήτων που επέλεξαν οι αγοραστές το 2020 </w:t>
      </w:r>
      <w:r w:rsidR="00A94D1B" w:rsidRPr="005A3880">
        <w:rPr>
          <w:color w:val="000000"/>
          <w:sz w:val="24"/>
          <w:szCs w:val="24"/>
          <w:shd w:val="clear" w:color="auto" w:fill="FFFFFF"/>
        </w:rPr>
        <w:t xml:space="preserve">τόσο πανελλαδικά όσο και σε επιμέρους περιοχές, </w:t>
      </w:r>
      <w:r w:rsidRPr="005A3880">
        <w:rPr>
          <w:color w:val="000000"/>
          <w:sz w:val="24"/>
          <w:szCs w:val="24"/>
          <w:shd w:val="clear" w:color="auto" w:fill="FFFFFF"/>
        </w:rPr>
        <w:t xml:space="preserve">αλλά και την παλαιότητα </w:t>
      </w:r>
      <w:r w:rsidR="00A94D1B" w:rsidRPr="005A3880">
        <w:rPr>
          <w:color w:val="000000"/>
          <w:sz w:val="24"/>
          <w:szCs w:val="24"/>
          <w:shd w:val="clear" w:color="auto" w:fill="FFFFFF"/>
        </w:rPr>
        <w:t xml:space="preserve">τους, </w:t>
      </w:r>
      <w:r w:rsidRPr="005A3880">
        <w:rPr>
          <w:color w:val="000000"/>
          <w:sz w:val="24"/>
          <w:szCs w:val="24"/>
          <w:shd w:val="clear" w:color="auto" w:fill="FFFFFF"/>
        </w:rPr>
        <w:t xml:space="preserve">σε μία χρονιά που οι πολίτες </w:t>
      </w:r>
      <w:r w:rsidR="00EA0B10">
        <w:rPr>
          <w:color w:val="000000"/>
          <w:sz w:val="24"/>
          <w:szCs w:val="24"/>
          <w:shd w:val="clear" w:color="auto" w:fill="FFFFFF"/>
        </w:rPr>
        <w:t>δοκιμάστηκαν</w:t>
      </w:r>
      <w:r w:rsidR="005A3880">
        <w:rPr>
          <w:color w:val="000000"/>
          <w:sz w:val="24"/>
          <w:szCs w:val="24"/>
          <w:shd w:val="clear" w:color="auto" w:fill="FFFFFF"/>
        </w:rPr>
        <w:t xml:space="preserve"> από την </w:t>
      </w:r>
      <w:r w:rsidR="00A94D1B" w:rsidRPr="005A3880">
        <w:rPr>
          <w:color w:val="000000"/>
          <w:sz w:val="24"/>
          <w:szCs w:val="24"/>
          <w:shd w:val="clear" w:color="auto" w:fill="FFFFFF"/>
        </w:rPr>
        <w:t>πανδημία του κορωνοϊού</w:t>
      </w:r>
      <w:r w:rsidR="00EA0B10">
        <w:rPr>
          <w:color w:val="000000"/>
          <w:sz w:val="24"/>
          <w:szCs w:val="24"/>
          <w:shd w:val="clear" w:color="auto" w:fill="FFFFFF"/>
        </w:rPr>
        <w:t>.</w:t>
      </w:r>
    </w:p>
    <w:p w:rsidR="0039113F" w:rsidRPr="000B0E32" w:rsidRDefault="0039113F" w:rsidP="00106E2D">
      <w:pPr>
        <w:tabs>
          <w:tab w:val="right" w:pos="9639"/>
        </w:tabs>
        <w:spacing w:before="120" w:after="120" w:line="360" w:lineRule="auto"/>
        <w:rPr>
          <w:b/>
          <w:color w:val="4F81BD" w:themeColor="accent1"/>
          <w:sz w:val="24"/>
          <w:szCs w:val="24"/>
        </w:rPr>
      </w:pPr>
      <w:r w:rsidRPr="000B0E32">
        <w:rPr>
          <w:b/>
          <w:color w:val="4F81BD" w:themeColor="accent1"/>
          <w:sz w:val="24"/>
          <w:szCs w:val="24"/>
        </w:rPr>
        <w:t>Κατανομή πωληθέντων ακινήτων με βάση το είδος του ακινήτου</w:t>
      </w:r>
    </w:p>
    <w:p w:rsidR="000B1833" w:rsidRDefault="0039113F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t xml:space="preserve">Σύμφωνα με την </w:t>
      </w:r>
      <w:r w:rsidR="00A94D1B">
        <w:rPr>
          <w:sz w:val="24"/>
          <w:szCs w:val="24"/>
        </w:rPr>
        <w:t xml:space="preserve">αναλυτική </w:t>
      </w:r>
      <w:r w:rsidRPr="00EA20E3">
        <w:rPr>
          <w:sz w:val="24"/>
          <w:szCs w:val="24"/>
        </w:rPr>
        <w:t xml:space="preserve">κατανομή των πωληθέντων ακινήτων πανελλαδικά ως προς το </w:t>
      </w:r>
      <w:r w:rsidRPr="005A3880">
        <w:rPr>
          <w:sz w:val="24"/>
          <w:szCs w:val="24"/>
        </w:rPr>
        <w:t>είδος</w:t>
      </w:r>
      <w:r w:rsidR="003C4237" w:rsidRPr="00EA20E3">
        <w:rPr>
          <w:sz w:val="24"/>
          <w:szCs w:val="24"/>
        </w:rPr>
        <w:t xml:space="preserve"> του ακινήτου, όπως </w:t>
      </w:r>
      <w:r w:rsidR="00A94D1B">
        <w:rPr>
          <w:sz w:val="24"/>
          <w:szCs w:val="24"/>
        </w:rPr>
        <w:t xml:space="preserve">προκύπτει </w:t>
      </w:r>
      <w:r w:rsidR="005A3880">
        <w:rPr>
          <w:sz w:val="24"/>
          <w:szCs w:val="24"/>
        </w:rPr>
        <w:t xml:space="preserve">από τα στοιχεία που κατέγραψε το δίκτυο της </w:t>
      </w:r>
      <w:r w:rsidR="005A3880">
        <w:rPr>
          <w:sz w:val="24"/>
          <w:szCs w:val="24"/>
          <w:lang w:val="en-US"/>
        </w:rPr>
        <w:t>RE</w:t>
      </w:r>
      <w:r w:rsidR="005A3880" w:rsidRPr="005A3880">
        <w:rPr>
          <w:sz w:val="24"/>
          <w:szCs w:val="24"/>
        </w:rPr>
        <w:t>/</w:t>
      </w:r>
      <w:r w:rsidR="005A3880">
        <w:rPr>
          <w:sz w:val="24"/>
          <w:szCs w:val="24"/>
          <w:lang w:val="en-US"/>
        </w:rPr>
        <w:t>MAX</w:t>
      </w:r>
      <w:r w:rsidR="005A3880">
        <w:rPr>
          <w:sz w:val="24"/>
          <w:szCs w:val="24"/>
        </w:rPr>
        <w:t xml:space="preserve"> Ελλάς, </w:t>
      </w:r>
      <w:r w:rsidR="009C2444" w:rsidRPr="00EA20E3">
        <w:rPr>
          <w:sz w:val="24"/>
          <w:szCs w:val="24"/>
        </w:rPr>
        <w:t>8</w:t>
      </w:r>
      <w:r w:rsidR="00A94D1B">
        <w:rPr>
          <w:sz w:val="24"/>
          <w:szCs w:val="24"/>
        </w:rPr>
        <w:t>4 στα</w:t>
      </w:r>
      <w:r w:rsidR="009C2444" w:rsidRPr="00EA20E3">
        <w:rPr>
          <w:sz w:val="24"/>
          <w:szCs w:val="24"/>
        </w:rPr>
        <w:t xml:space="preserve"> 10</w:t>
      </w:r>
      <w:r w:rsidR="00A94D1B">
        <w:rPr>
          <w:sz w:val="24"/>
          <w:szCs w:val="24"/>
        </w:rPr>
        <w:t>0 ακίνητα</w:t>
      </w:r>
      <w:r w:rsidR="009C2444" w:rsidRPr="00EA20E3">
        <w:rPr>
          <w:sz w:val="24"/>
          <w:szCs w:val="24"/>
        </w:rPr>
        <w:t xml:space="preserve"> (8</w:t>
      </w:r>
      <w:r w:rsidR="00CF68DB">
        <w:rPr>
          <w:sz w:val="24"/>
          <w:szCs w:val="24"/>
        </w:rPr>
        <w:t>4</w:t>
      </w:r>
      <w:r w:rsidRPr="00EA20E3">
        <w:rPr>
          <w:sz w:val="24"/>
          <w:szCs w:val="24"/>
        </w:rPr>
        <w:t>%</w:t>
      </w:r>
      <w:r w:rsidR="00A94D1B">
        <w:rPr>
          <w:sz w:val="24"/>
          <w:szCs w:val="24"/>
        </w:rPr>
        <w:t xml:space="preserve"> επί του συνόλου)</w:t>
      </w:r>
      <w:r w:rsidRPr="00EA20E3">
        <w:rPr>
          <w:sz w:val="24"/>
          <w:szCs w:val="24"/>
        </w:rPr>
        <w:t xml:space="preserve"> </w:t>
      </w:r>
      <w:r w:rsidR="00A94D1B">
        <w:rPr>
          <w:sz w:val="24"/>
          <w:szCs w:val="24"/>
        </w:rPr>
        <w:t xml:space="preserve">που πωλήθηκαν </w:t>
      </w:r>
      <w:r w:rsidR="00AA48D9">
        <w:rPr>
          <w:sz w:val="24"/>
          <w:szCs w:val="24"/>
        </w:rPr>
        <w:t xml:space="preserve">πανελλαδικά </w:t>
      </w:r>
      <w:r w:rsidR="00DD36AF">
        <w:rPr>
          <w:sz w:val="24"/>
          <w:szCs w:val="24"/>
        </w:rPr>
        <w:t xml:space="preserve">αφορούσαν </w:t>
      </w:r>
      <w:r w:rsidR="00525A09" w:rsidRPr="00EA20E3">
        <w:rPr>
          <w:sz w:val="24"/>
          <w:szCs w:val="24"/>
        </w:rPr>
        <w:t>κατοικίες (διαμερίσματα/</w:t>
      </w:r>
      <w:r w:rsidRPr="00EA20E3">
        <w:rPr>
          <w:sz w:val="24"/>
          <w:szCs w:val="24"/>
        </w:rPr>
        <w:t xml:space="preserve"> μονοκατοικίες/μεζονέτες), ενώ τα οικόπεδα</w:t>
      </w:r>
      <w:r w:rsidR="00EA0B10">
        <w:rPr>
          <w:sz w:val="24"/>
          <w:szCs w:val="24"/>
        </w:rPr>
        <w:t>-αγροτεμάχια</w:t>
      </w:r>
      <w:r w:rsidRPr="00EA20E3">
        <w:rPr>
          <w:sz w:val="24"/>
          <w:szCs w:val="24"/>
        </w:rPr>
        <w:t xml:space="preserve"> καθώς και τα επαγγελματικά ακίνητ</w:t>
      </w:r>
      <w:r w:rsidR="003C4237" w:rsidRPr="00EA20E3">
        <w:rPr>
          <w:sz w:val="24"/>
          <w:szCs w:val="24"/>
        </w:rPr>
        <w:t xml:space="preserve">α είχαν </w:t>
      </w:r>
      <w:r w:rsidR="00AA48D9">
        <w:rPr>
          <w:sz w:val="24"/>
          <w:szCs w:val="24"/>
        </w:rPr>
        <w:t xml:space="preserve">πολύ μικρότερο </w:t>
      </w:r>
      <w:r w:rsidR="003C4237" w:rsidRPr="00EA20E3">
        <w:rPr>
          <w:sz w:val="24"/>
          <w:szCs w:val="24"/>
        </w:rPr>
        <w:t>μερίδι</w:t>
      </w:r>
      <w:r w:rsidR="003325E2">
        <w:rPr>
          <w:sz w:val="24"/>
          <w:szCs w:val="24"/>
        </w:rPr>
        <w:t>ο</w:t>
      </w:r>
      <w:r w:rsidR="003C4237" w:rsidRPr="00EA20E3">
        <w:rPr>
          <w:sz w:val="24"/>
          <w:szCs w:val="24"/>
        </w:rPr>
        <w:t xml:space="preserve"> </w:t>
      </w:r>
      <w:r w:rsidR="00AA48D9">
        <w:rPr>
          <w:sz w:val="24"/>
          <w:szCs w:val="24"/>
        </w:rPr>
        <w:t xml:space="preserve">της τάξεως του </w:t>
      </w:r>
      <w:r w:rsidR="009C2444" w:rsidRPr="00EA20E3">
        <w:rPr>
          <w:sz w:val="24"/>
          <w:szCs w:val="24"/>
        </w:rPr>
        <w:t>1</w:t>
      </w:r>
      <w:r w:rsidR="00CF68DB">
        <w:rPr>
          <w:sz w:val="24"/>
          <w:szCs w:val="24"/>
        </w:rPr>
        <w:t>0</w:t>
      </w:r>
      <w:r w:rsidR="009C2444" w:rsidRPr="00EA20E3">
        <w:rPr>
          <w:sz w:val="24"/>
          <w:szCs w:val="24"/>
        </w:rPr>
        <w:t>% &amp;</w:t>
      </w:r>
      <w:r w:rsidR="008C4F65" w:rsidRPr="00EA20E3">
        <w:rPr>
          <w:sz w:val="24"/>
          <w:szCs w:val="24"/>
        </w:rPr>
        <w:t xml:space="preserve"> </w:t>
      </w:r>
      <w:r w:rsidR="009C2444" w:rsidRPr="00EA20E3">
        <w:rPr>
          <w:sz w:val="24"/>
          <w:szCs w:val="24"/>
        </w:rPr>
        <w:t>6</w:t>
      </w:r>
      <w:r w:rsidR="003C4237" w:rsidRPr="00EA20E3">
        <w:rPr>
          <w:sz w:val="24"/>
          <w:szCs w:val="24"/>
        </w:rPr>
        <w:t>% αντίστοιχα</w:t>
      </w:r>
      <w:r w:rsidR="00F608EC" w:rsidRPr="00EA20E3">
        <w:rPr>
          <w:sz w:val="24"/>
          <w:szCs w:val="24"/>
        </w:rPr>
        <w:t xml:space="preserve"> (γράφημα 1)</w:t>
      </w:r>
      <w:r w:rsidR="007559D7" w:rsidRPr="00EA20E3">
        <w:rPr>
          <w:sz w:val="24"/>
          <w:szCs w:val="24"/>
        </w:rPr>
        <w:t xml:space="preserve"> .</w:t>
      </w:r>
    </w:p>
    <w:p w:rsidR="000B0E32" w:rsidRDefault="000B0E32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</w:p>
    <w:p w:rsidR="00EA0B10" w:rsidRDefault="00EA0B10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</w:p>
    <w:p w:rsidR="00106E2D" w:rsidRDefault="00106E2D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</w:p>
    <w:p w:rsidR="0039113F" w:rsidRDefault="00BA11F0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lastRenderedPageBreak/>
        <w:t>Γράφημα 1</w:t>
      </w:r>
    </w:p>
    <w:p w:rsidR="00547441" w:rsidRPr="00EA20E3" w:rsidRDefault="00547441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20" name="Γράφημα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15AF" w:rsidRPr="00EA20E3" w:rsidRDefault="000E15AF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  <w:lang w:val="en-US"/>
        </w:rPr>
      </w:pPr>
    </w:p>
    <w:p w:rsidR="000B0E32" w:rsidRPr="00DD36AF" w:rsidRDefault="000E15AF" w:rsidP="00106E2D">
      <w:pPr>
        <w:pStyle w:val="-11"/>
        <w:tabs>
          <w:tab w:val="right" w:pos="9639"/>
        </w:tabs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EA20E3">
        <w:rPr>
          <w:rFonts w:ascii="Arial" w:hAnsi="Arial" w:cs="Arial"/>
          <w:sz w:val="24"/>
          <w:szCs w:val="24"/>
        </w:rPr>
        <w:t>Στην Αττική</w:t>
      </w:r>
      <w:r w:rsidR="003325E2">
        <w:rPr>
          <w:rFonts w:ascii="Arial" w:hAnsi="Arial" w:cs="Arial"/>
          <w:sz w:val="24"/>
          <w:szCs w:val="24"/>
        </w:rPr>
        <w:t>,</w:t>
      </w:r>
      <w:r w:rsidRPr="00EA20E3">
        <w:rPr>
          <w:rFonts w:ascii="Arial" w:hAnsi="Arial" w:cs="Arial"/>
          <w:sz w:val="24"/>
          <w:szCs w:val="24"/>
        </w:rPr>
        <w:t xml:space="preserve"> το 82%  των πωληθέντων ακινή</w:t>
      </w:r>
      <w:r w:rsidR="00EA0B10">
        <w:rPr>
          <w:rFonts w:ascii="Arial" w:hAnsi="Arial" w:cs="Arial"/>
          <w:sz w:val="24"/>
          <w:szCs w:val="24"/>
        </w:rPr>
        <w:t>των ήταν κατοικίες. Τα οικόπεδα-</w:t>
      </w:r>
      <w:r w:rsidRPr="00EA20E3">
        <w:rPr>
          <w:rFonts w:ascii="Arial" w:hAnsi="Arial" w:cs="Arial"/>
          <w:sz w:val="24"/>
          <w:szCs w:val="24"/>
        </w:rPr>
        <w:t>αγροτεμάχια έφθασαν στο 9%</w:t>
      </w:r>
      <w:r w:rsidR="00AA48D9">
        <w:rPr>
          <w:rFonts w:ascii="Arial" w:hAnsi="Arial" w:cs="Arial"/>
          <w:sz w:val="24"/>
          <w:szCs w:val="24"/>
        </w:rPr>
        <w:t xml:space="preserve"> του συνόλου των αγοραπωλησιών,</w:t>
      </w:r>
      <w:r w:rsidR="003325E2">
        <w:rPr>
          <w:rFonts w:ascii="Arial" w:hAnsi="Arial" w:cs="Arial"/>
          <w:sz w:val="24"/>
          <w:szCs w:val="24"/>
        </w:rPr>
        <w:t xml:space="preserve"> ενώ </w:t>
      </w:r>
      <w:r w:rsidRPr="00EA20E3">
        <w:rPr>
          <w:rFonts w:ascii="Arial" w:hAnsi="Arial" w:cs="Arial"/>
          <w:sz w:val="24"/>
          <w:szCs w:val="24"/>
        </w:rPr>
        <w:t xml:space="preserve">ίδιο </w:t>
      </w:r>
      <w:r w:rsidR="003325E2">
        <w:rPr>
          <w:rFonts w:ascii="Arial" w:hAnsi="Arial" w:cs="Arial"/>
          <w:sz w:val="24"/>
          <w:szCs w:val="24"/>
        </w:rPr>
        <w:t xml:space="preserve">ήταν το </w:t>
      </w:r>
      <w:r w:rsidRPr="00EA20E3">
        <w:rPr>
          <w:rFonts w:ascii="Arial" w:hAnsi="Arial" w:cs="Arial"/>
          <w:sz w:val="24"/>
          <w:szCs w:val="24"/>
        </w:rPr>
        <w:t xml:space="preserve">ποσοστό </w:t>
      </w:r>
      <w:r w:rsidR="003325E2">
        <w:rPr>
          <w:rFonts w:ascii="Arial" w:hAnsi="Arial" w:cs="Arial"/>
          <w:sz w:val="24"/>
          <w:szCs w:val="24"/>
        </w:rPr>
        <w:t xml:space="preserve">και για τα </w:t>
      </w:r>
      <w:r w:rsidRPr="00EA20E3">
        <w:rPr>
          <w:rFonts w:ascii="Arial" w:hAnsi="Arial" w:cs="Arial"/>
          <w:sz w:val="24"/>
          <w:szCs w:val="24"/>
        </w:rPr>
        <w:t>επαγγελματικ</w:t>
      </w:r>
      <w:r w:rsidR="003325E2">
        <w:rPr>
          <w:rFonts w:ascii="Arial" w:hAnsi="Arial" w:cs="Arial"/>
          <w:sz w:val="24"/>
          <w:szCs w:val="24"/>
        </w:rPr>
        <w:t>ά</w:t>
      </w:r>
      <w:r w:rsidRPr="00EA20E3">
        <w:rPr>
          <w:rFonts w:ascii="Arial" w:hAnsi="Arial" w:cs="Arial"/>
          <w:sz w:val="24"/>
          <w:szCs w:val="24"/>
        </w:rPr>
        <w:t xml:space="preserve"> </w:t>
      </w:r>
      <w:r w:rsidR="003325E2">
        <w:rPr>
          <w:rFonts w:ascii="Arial" w:hAnsi="Arial" w:cs="Arial"/>
          <w:sz w:val="24"/>
          <w:szCs w:val="24"/>
        </w:rPr>
        <w:t xml:space="preserve">ακίνητα </w:t>
      </w:r>
      <w:r w:rsidRPr="00EA20E3">
        <w:rPr>
          <w:rFonts w:ascii="Arial" w:hAnsi="Arial" w:cs="Arial"/>
          <w:sz w:val="24"/>
          <w:szCs w:val="24"/>
        </w:rPr>
        <w:t>(γράφημα 2).</w:t>
      </w:r>
    </w:p>
    <w:p w:rsidR="009102B8" w:rsidRPr="00EA20E3" w:rsidRDefault="00423047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t>Γράφημα 2</w:t>
      </w:r>
    </w:p>
    <w:p w:rsidR="0039113F" w:rsidRPr="00EA20E3" w:rsidRDefault="00EE3ABD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21" name="Γράφημα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113F" w:rsidRPr="00EA20E3" w:rsidRDefault="0039113F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</w:p>
    <w:p w:rsidR="0039113F" w:rsidRPr="00EA20E3" w:rsidRDefault="000E15AF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lastRenderedPageBreak/>
        <w:t>Στη Θεσσαλονίκη</w:t>
      </w:r>
      <w:r w:rsidR="003325E2">
        <w:rPr>
          <w:sz w:val="24"/>
          <w:szCs w:val="24"/>
        </w:rPr>
        <w:t xml:space="preserve">, </w:t>
      </w:r>
      <w:r w:rsidR="00DD36AF">
        <w:rPr>
          <w:sz w:val="24"/>
          <w:szCs w:val="24"/>
        </w:rPr>
        <w:t>σχεδόν το σύνολο των πωληθέντων ακινήτων (ποσοστ</w:t>
      </w:r>
      <w:r w:rsidR="00106E2D">
        <w:rPr>
          <w:sz w:val="24"/>
          <w:szCs w:val="24"/>
        </w:rPr>
        <w:t>ό</w:t>
      </w:r>
      <w:r w:rsidR="00DD36AF">
        <w:rPr>
          <w:sz w:val="24"/>
          <w:szCs w:val="24"/>
        </w:rPr>
        <w:t xml:space="preserve"> 94%) αφορά κατοικίες</w:t>
      </w:r>
      <w:r w:rsidR="00AA48D9">
        <w:rPr>
          <w:sz w:val="24"/>
          <w:szCs w:val="24"/>
        </w:rPr>
        <w:t>,</w:t>
      </w:r>
      <w:r w:rsidR="00DD36AF">
        <w:rPr>
          <w:sz w:val="24"/>
          <w:szCs w:val="24"/>
        </w:rPr>
        <w:t xml:space="preserve"> ενώ μόλις </w:t>
      </w:r>
      <w:r w:rsidR="00E636FC">
        <w:rPr>
          <w:sz w:val="24"/>
          <w:szCs w:val="24"/>
        </w:rPr>
        <w:t>από</w:t>
      </w:r>
      <w:r w:rsidR="00086863">
        <w:rPr>
          <w:sz w:val="24"/>
          <w:szCs w:val="24"/>
        </w:rPr>
        <w:t xml:space="preserve"> 3% </w:t>
      </w:r>
      <w:r w:rsidRPr="00EA20E3">
        <w:rPr>
          <w:sz w:val="24"/>
          <w:szCs w:val="24"/>
        </w:rPr>
        <w:t>οικόπεδα-αγροτεμάχια και επαγγελματικά</w:t>
      </w:r>
      <w:r w:rsidR="00086863">
        <w:rPr>
          <w:sz w:val="24"/>
          <w:szCs w:val="24"/>
        </w:rPr>
        <w:t xml:space="preserve"> ακίνητα</w:t>
      </w:r>
      <w:r w:rsidR="003325E2">
        <w:rPr>
          <w:sz w:val="24"/>
          <w:szCs w:val="24"/>
        </w:rPr>
        <w:t xml:space="preserve"> </w:t>
      </w:r>
      <w:r w:rsidRPr="00EA20E3">
        <w:rPr>
          <w:sz w:val="24"/>
          <w:szCs w:val="24"/>
        </w:rPr>
        <w:t>(γράφημα 3).</w:t>
      </w:r>
    </w:p>
    <w:p w:rsidR="00AF4E7B" w:rsidRPr="00EA20E3" w:rsidRDefault="009C2444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t>Γράφημα 3</w:t>
      </w:r>
    </w:p>
    <w:p w:rsidR="009C2444" w:rsidRPr="00EA20E3" w:rsidRDefault="00EE3ABD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24" name="Γράφημα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6E2D" w:rsidRDefault="000E15AF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t>Στην υπόλοιπη Ελλάδα (εκτός Αττικής &amp; Θεσσαλονίκης),</w:t>
      </w:r>
      <w:r w:rsidR="003325E2">
        <w:rPr>
          <w:sz w:val="24"/>
          <w:szCs w:val="24"/>
        </w:rPr>
        <w:t xml:space="preserve"> στην κορυφή των προτιμήσεων βρέθηκαν</w:t>
      </w:r>
      <w:r w:rsidRPr="00EA20E3">
        <w:rPr>
          <w:sz w:val="24"/>
          <w:szCs w:val="24"/>
        </w:rPr>
        <w:t xml:space="preserve"> οι κατοικίες σε ποσοστό 79%, ενώ τα οικόπεδα-αγροτεμάχια κινήθηκαν στο 17%</w:t>
      </w:r>
      <w:r w:rsidR="00086863">
        <w:rPr>
          <w:sz w:val="24"/>
          <w:szCs w:val="24"/>
        </w:rPr>
        <w:t xml:space="preserve"> επί του συνόλου των αγοραπωλησιών</w:t>
      </w:r>
      <w:r w:rsidRPr="00EA20E3">
        <w:rPr>
          <w:sz w:val="24"/>
          <w:szCs w:val="24"/>
        </w:rPr>
        <w:t xml:space="preserve"> </w:t>
      </w:r>
      <w:r w:rsidR="00E636FC">
        <w:rPr>
          <w:sz w:val="24"/>
          <w:szCs w:val="24"/>
        </w:rPr>
        <w:t>(γράφημα 4)</w:t>
      </w:r>
    </w:p>
    <w:p w:rsidR="00E41184" w:rsidRPr="00EA20E3" w:rsidRDefault="00E636FC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Γ</w:t>
      </w:r>
      <w:r w:rsidR="000E15AF" w:rsidRPr="00EA20E3">
        <w:rPr>
          <w:sz w:val="24"/>
          <w:szCs w:val="24"/>
        </w:rPr>
        <w:t>ράφημα 4</w:t>
      </w:r>
      <w:r w:rsidR="00106E2D">
        <w:rPr>
          <w:noProof/>
          <w:sz w:val="24"/>
          <w:szCs w:val="24"/>
        </w:rPr>
        <w:t xml:space="preserve"> </w:t>
      </w:r>
      <w:r w:rsidR="00EE3ABD">
        <w:rPr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25" name="Γράφημα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113F" w:rsidRPr="000B0E32" w:rsidRDefault="0039113F" w:rsidP="00106E2D">
      <w:pPr>
        <w:tabs>
          <w:tab w:val="right" w:pos="9639"/>
        </w:tabs>
        <w:spacing w:before="120" w:after="120" w:line="360" w:lineRule="auto"/>
        <w:rPr>
          <w:b/>
          <w:color w:val="4F81BD" w:themeColor="accent1"/>
          <w:sz w:val="24"/>
          <w:szCs w:val="24"/>
        </w:rPr>
      </w:pPr>
      <w:r w:rsidRPr="000B0E32">
        <w:rPr>
          <w:b/>
          <w:color w:val="4F81BD" w:themeColor="accent1"/>
          <w:sz w:val="24"/>
          <w:szCs w:val="24"/>
        </w:rPr>
        <w:lastRenderedPageBreak/>
        <w:t>Κατανομή πωληθέντων ακινήτων με βάση την ηλικία του ακινήτου</w:t>
      </w:r>
    </w:p>
    <w:p w:rsidR="0039113F" w:rsidRPr="00EA20E3" w:rsidRDefault="00086863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Ιδιαίτερο ενδιαφέρον έχει η ηλικιακή κατανομή των πωληθέντων</w:t>
      </w:r>
      <w:r w:rsidR="00AA4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ακινήτων. </w:t>
      </w:r>
      <w:r w:rsidR="0039113F" w:rsidRPr="00EA20E3">
        <w:rPr>
          <w:sz w:val="24"/>
          <w:szCs w:val="24"/>
        </w:rPr>
        <w:t xml:space="preserve">Εστιάζοντας </w:t>
      </w:r>
      <w:r w:rsidR="0039113F" w:rsidRPr="00AA48D9">
        <w:rPr>
          <w:sz w:val="24"/>
          <w:szCs w:val="24"/>
        </w:rPr>
        <w:t xml:space="preserve">στα οικιστικά ακίνητα, δεδομένου ότι συγκεντρώνουν τα υψηλότερα ποσοστά πώλησης σε όλη τη χώρα, </w:t>
      </w:r>
      <w:r w:rsidRPr="00AA48D9">
        <w:rPr>
          <w:sz w:val="24"/>
          <w:szCs w:val="24"/>
        </w:rPr>
        <w:t>προκύπτει</w:t>
      </w:r>
      <w:r>
        <w:rPr>
          <w:sz w:val="24"/>
          <w:szCs w:val="24"/>
        </w:rPr>
        <w:t xml:space="preserve"> ότι συνεχίζεται η </w:t>
      </w:r>
      <w:r w:rsidR="000E15AF" w:rsidRPr="00EA20E3">
        <w:rPr>
          <w:sz w:val="24"/>
          <w:szCs w:val="24"/>
        </w:rPr>
        <w:t xml:space="preserve">τάση των προηγουμένων ετών, </w:t>
      </w:r>
      <w:r>
        <w:rPr>
          <w:sz w:val="24"/>
          <w:szCs w:val="24"/>
        </w:rPr>
        <w:t xml:space="preserve">με </w:t>
      </w:r>
      <w:r w:rsidR="003325E2">
        <w:rPr>
          <w:sz w:val="24"/>
          <w:szCs w:val="24"/>
        </w:rPr>
        <w:t xml:space="preserve">το ενδιαφέρον </w:t>
      </w:r>
      <w:r>
        <w:rPr>
          <w:sz w:val="24"/>
          <w:szCs w:val="24"/>
        </w:rPr>
        <w:t xml:space="preserve">να εστιάζεται </w:t>
      </w:r>
      <w:r w:rsidR="003325E2">
        <w:rPr>
          <w:sz w:val="24"/>
          <w:szCs w:val="24"/>
        </w:rPr>
        <w:t>σε</w:t>
      </w:r>
      <w:r w:rsidR="000E15AF" w:rsidRPr="00EA20E3">
        <w:rPr>
          <w:sz w:val="24"/>
          <w:szCs w:val="24"/>
        </w:rPr>
        <w:t xml:space="preserve"> παλαιές κατοικίες</w:t>
      </w:r>
      <w:r>
        <w:rPr>
          <w:sz w:val="24"/>
          <w:szCs w:val="24"/>
        </w:rPr>
        <w:t xml:space="preserve"> ηλικίας κατασκευής άνω των 25 ετών </w:t>
      </w:r>
      <w:r w:rsidR="00E13517">
        <w:rPr>
          <w:sz w:val="24"/>
          <w:szCs w:val="24"/>
        </w:rPr>
        <w:t xml:space="preserve">σε </w:t>
      </w:r>
      <w:r w:rsidR="000E15AF" w:rsidRPr="00EA20E3">
        <w:rPr>
          <w:sz w:val="24"/>
          <w:szCs w:val="24"/>
        </w:rPr>
        <w:t>ποσοστό 7</w:t>
      </w:r>
      <w:r w:rsidR="00BA26A2" w:rsidRPr="00BA26A2">
        <w:rPr>
          <w:sz w:val="24"/>
          <w:szCs w:val="24"/>
        </w:rPr>
        <w:t>3</w:t>
      </w:r>
      <w:r w:rsidR="000E15AF" w:rsidRPr="00EA20E3">
        <w:rPr>
          <w:sz w:val="24"/>
          <w:szCs w:val="24"/>
        </w:rPr>
        <w:t>%, έναντι των ν</w:t>
      </w:r>
      <w:r w:rsidR="00BA26A2">
        <w:rPr>
          <w:sz w:val="24"/>
          <w:szCs w:val="24"/>
        </w:rPr>
        <w:t>εόδμητων</w:t>
      </w:r>
      <w:r w:rsidR="000E15AF" w:rsidRPr="00EA20E3">
        <w:rPr>
          <w:sz w:val="24"/>
          <w:szCs w:val="24"/>
        </w:rPr>
        <w:t xml:space="preserve"> που </w:t>
      </w:r>
      <w:r w:rsidR="002E0638">
        <w:rPr>
          <w:sz w:val="24"/>
          <w:szCs w:val="24"/>
        </w:rPr>
        <w:t xml:space="preserve">δεν ξεπέρασαν </w:t>
      </w:r>
      <w:r w:rsidR="000E15AF" w:rsidRPr="00EA20E3">
        <w:rPr>
          <w:sz w:val="24"/>
          <w:szCs w:val="24"/>
        </w:rPr>
        <w:t xml:space="preserve">το </w:t>
      </w:r>
      <w:r w:rsidR="00BA26A2" w:rsidRPr="00BA26A2">
        <w:rPr>
          <w:sz w:val="24"/>
          <w:szCs w:val="24"/>
        </w:rPr>
        <w:t>2</w:t>
      </w:r>
      <w:r w:rsidR="000E15AF" w:rsidRPr="00EA20E3">
        <w:rPr>
          <w:sz w:val="24"/>
          <w:szCs w:val="24"/>
        </w:rPr>
        <w:t>%</w:t>
      </w:r>
      <w:r w:rsidR="002E0638">
        <w:rPr>
          <w:sz w:val="24"/>
          <w:szCs w:val="24"/>
        </w:rPr>
        <w:t>. Ειδικά τα ακίνητα ηλικίας άνω των 30 ετών κάλυψαν το αγοραστικό ενδιαφέρον σε ποσοστό 62%! Οι ενδιάμεσες ηλικιακές κατηγορίες ακινήτων, δηλαδή από 11 έως 25 έτη</w:t>
      </w:r>
      <w:r w:rsidR="00106E2D">
        <w:rPr>
          <w:sz w:val="24"/>
          <w:szCs w:val="24"/>
        </w:rPr>
        <w:t>,</w:t>
      </w:r>
      <w:r w:rsidR="002E0638">
        <w:rPr>
          <w:sz w:val="24"/>
          <w:szCs w:val="24"/>
        </w:rPr>
        <w:t xml:space="preserve"> συγκέντρωσαν συνολικά το ενδιαφέρον </w:t>
      </w:r>
      <w:r w:rsidR="00106E2D">
        <w:rPr>
          <w:sz w:val="24"/>
          <w:szCs w:val="24"/>
        </w:rPr>
        <w:t xml:space="preserve">του 21% των τελικών αγοραστών, ενώ από 1 έως 10 έτη μόλις το 4% των αγοραστών </w:t>
      </w:r>
      <w:r w:rsidR="000E15AF" w:rsidRPr="00EA20E3">
        <w:rPr>
          <w:sz w:val="24"/>
          <w:szCs w:val="24"/>
        </w:rPr>
        <w:t>(γράφημα 5).</w:t>
      </w:r>
    </w:p>
    <w:p w:rsidR="005259A5" w:rsidRDefault="008202AE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t>Γράφημα 5</w:t>
      </w:r>
    </w:p>
    <w:p w:rsidR="00106E2D" w:rsidRDefault="00BD60BD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26" name="Γράφημα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36FC" w:rsidRDefault="00E636FC" w:rsidP="00106E2D">
      <w:pPr>
        <w:pStyle w:val="-11"/>
        <w:tabs>
          <w:tab w:val="right" w:pos="9639"/>
        </w:tabs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106E2D" w:rsidRDefault="000E15AF" w:rsidP="00106E2D">
      <w:pPr>
        <w:pStyle w:val="-11"/>
        <w:tabs>
          <w:tab w:val="right" w:pos="9639"/>
        </w:tabs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EA20E3">
        <w:rPr>
          <w:rFonts w:ascii="Arial" w:hAnsi="Arial" w:cs="Arial"/>
          <w:sz w:val="24"/>
          <w:szCs w:val="24"/>
        </w:rPr>
        <w:t>Στην Αττική, το 8</w:t>
      </w:r>
      <w:r w:rsidR="00407739">
        <w:rPr>
          <w:rFonts w:ascii="Arial" w:hAnsi="Arial" w:cs="Arial"/>
          <w:sz w:val="24"/>
          <w:szCs w:val="24"/>
        </w:rPr>
        <w:t>4</w:t>
      </w:r>
      <w:r w:rsidRPr="00EA20E3">
        <w:rPr>
          <w:rFonts w:ascii="Arial" w:hAnsi="Arial" w:cs="Arial"/>
          <w:sz w:val="24"/>
          <w:szCs w:val="24"/>
        </w:rPr>
        <w:t>% των ακινήτων που πωλήθηκαν ήταν παλαιά άνω της 25ετίας</w:t>
      </w:r>
      <w:r w:rsidR="003325E2">
        <w:rPr>
          <w:rFonts w:ascii="Arial" w:hAnsi="Arial" w:cs="Arial"/>
          <w:sz w:val="24"/>
          <w:szCs w:val="24"/>
        </w:rPr>
        <w:t xml:space="preserve"> σε αντίθεση με τ</w:t>
      </w:r>
      <w:r w:rsidRPr="00EA20E3">
        <w:rPr>
          <w:rFonts w:ascii="Arial" w:hAnsi="Arial" w:cs="Arial"/>
          <w:sz w:val="24"/>
          <w:szCs w:val="24"/>
        </w:rPr>
        <w:t xml:space="preserve">α νεόδμητα </w:t>
      </w:r>
      <w:r w:rsidR="003325E2">
        <w:rPr>
          <w:rFonts w:ascii="Arial" w:hAnsi="Arial" w:cs="Arial"/>
          <w:sz w:val="24"/>
          <w:szCs w:val="24"/>
        </w:rPr>
        <w:t>και</w:t>
      </w:r>
      <w:r w:rsidRPr="00EA20E3">
        <w:rPr>
          <w:rFonts w:ascii="Arial" w:hAnsi="Arial" w:cs="Arial"/>
          <w:sz w:val="24"/>
          <w:szCs w:val="24"/>
        </w:rPr>
        <w:t xml:space="preserve"> τα νέα (έως πενταετίας) </w:t>
      </w:r>
      <w:r w:rsidR="003325E2">
        <w:rPr>
          <w:rFonts w:ascii="Arial" w:hAnsi="Arial" w:cs="Arial"/>
          <w:sz w:val="24"/>
          <w:szCs w:val="24"/>
        </w:rPr>
        <w:t xml:space="preserve">που </w:t>
      </w:r>
      <w:r w:rsidRPr="00EA20E3">
        <w:rPr>
          <w:rFonts w:ascii="Arial" w:hAnsi="Arial" w:cs="Arial"/>
          <w:sz w:val="24"/>
          <w:szCs w:val="24"/>
        </w:rPr>
        <w:t xml:space="preserve">δεν </w:t>
      </w:r>
      <w:r w:rsidR="00E636FC">
        <w:rPr>
          <w:rFonts w:ascii="Arial" w:hAnsi="Arial" w:cs="Arial"/>
          <w:sz w:val="24"/>
          <w:szCs w:val="24"/>
        </w:rPr>
        <w:t xml:space="preserve">κατάφεραν να </w:t>
      </w:r>
      <w:r w:rsidR="00E13517">
        <w:rPr>
          <w:rFonts w:ascii="Arial" w:hAnsi="Arial" w:cs="Arial"/>
          <w:sz w:val="24"/>
          <w:szCs w:val="24"/>
        </w:rPr>
        <w:t>κερδίσουν ιδιαίτερα</w:t>
      </w:r>
      <w:r w:rsidR="00F86214">
        <w:rPr>
          <w:rFonts w:ascii="Arial" w:hAnsi="Arial" w:cs="Arial"/>
          <w:sz w:val="24"/>
          <w:szCs w:val="24"/>
        </w:rPr>
        <w:t xml:space="preserve"> το ενδιαφέρον των αγοραστών. Μάλιστα 73 στα 100 ακίνητα που πωλήθηκαν στην Αττική ανήκουν στην ηλικιακή κατηγορία άνω των 30 ετών.</w:t>
      </w:r>
      <w:r w:rsidR="00A24EB9">
        <w:rPr>
          <w:rFonts w:ascii="Arial" w:hAnsi="Arial" w:cs="Arial"/>
          <w:sz w:val="24"/>
          <w:szCs w:val="24"/>
        </w:rPr>
        <w:t xml:space="preserve"> </w:t>
      </w:r>
      <w:r w:rsidR="00E13517">
        <w:rPr>
          <w:rFonts w:ascii="Arial" w:hAnsi="Arial" w:cs="Arial"/>
          <w:sz w:val="24"/>
          <w:szCs w:val="24"/>
        </w:rPr>
        <w:t xml:space="preserve">Από την άλλη, </w:t>
      </w:r>
      <w:r w:rsidR="00A24EB9">
        <w:rPr>
          <w:rFonts w:ascii="Arial" w:hAnsi="Arial" w:cs="Arial"/>
          <w:sz w:val="24"/>
          <w:szCs w:val="24"/>
        </w:rPr>
        <w:t>ακίνητα ηλικίας από 1 έως 15 έτη κάλυψαν ποσοστό επί των συνολικών αγοραπωλησιών μόλις 7%.</w:t>
      </w:r>
      <w:r w:rsidR="00F86214">
        <w:rPr>
          <w:rFonts w:ascii="Arial" w:hAnsi="Arial" w:cs="Arial"/>
          <w:sz w:val="24"/>
          <w:szCs w:val="24"/>
        </w:rPr>
        <w:t xml:space="preserve"> </w:t>
      </w:r>
      <w:r w:rsidRPr="00EA20E3">
        <w:rPr>
          <w:rFonts w:ascii="Arial" w:hAnsi="Arial" w:cs="Arial"/>
          <w:sz w:val="24"/>
          <w:szCs w:val="24"/>
        </w:rPr>
        <w:t>(γράφημα 6) .</w:t>
      </w:r>
    </w:p>
    <w:p w:rsidR="00C94D1C" w:rsidRDefault="00BA11F0" w:rsidP="00106E2D">
      <w:pPr>
        <w:pStyle w:val="-11"/>
        <w:tabs>
          <w:tab w:val="right" w:pos="9639"/>
        </w:tabs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EA20E3">
        <w:rPr>
          <w:sz w:val="24"/>
          <w:szCs w:val="24"/>
        </w:rPr>
        <w:lastRenderedPageBreak/>
        <w:t xml:space="preserve">Γράφημα </w:t>
      </w:r>
      <w:r w:rsidR="00106E2D">
        <w:rPr>
          <w:sz w:val="24"/>
          <w:szCs w:val="24"/>
        </w:rPr>
        <w:t xml:space="preserve"> 6</w:t>
      </w:r>
      <w:r w:rsidR="00233650">
        <w:rPr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27" name="Γράφημα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3517" w:rsidRDefault="00E13517" w:rsidP="00106E2D">
      <w:pPr>
        <w:pStyle w:val="-11"/>
        <w:tabs>
          <w:tab w:val="right" w:pos="9639"/>
        </w:tabs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E15AF" w:rsidRPr="00DB5D2F" w:rsidRDefault="00A24EB9" w:rsidP="00DB5D2F">
      <w:pPr>
        <w:pStyle w:val="-11"/>
        <w:tabs>
          <w:tab w:val="right" w:pos="9639"/>
        </w:tabs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Στις αγοραπωλησίες που πραγματοποιήθηκαν στη</w:t>
      </w:r>
      <w:r w:rsidR="000E15AF" w:rsidRPr="00EA20E3">
        <w:rPr>
          <w:rFonts w:ascii="Arial" w:hAnsi="Arial" w:cs="Arial"/>
          <w:sz w:val="24"/>
          <w:szCs w:val="24"/>
        </w:rPr>
        <w:t xml:space="preserve"> Θεσσαλονίκη</w:t>
      </w:r>
      <w:r>
        <w:rPr>
          <w:rFonts w:ascii="Arial" w:hAnsi="Arial" w:cs="Arial"/>
          <w:sz w:val="24"/>
          <w:szCs w:val="24"/>
        </w:rPr>
        <w:t xml:space="preserve"> ξεχωρίζουν δύο ηλικιακές ομάδες ακινήτων. Η πρώτη με τα μεγαλύτερα ποσοστά προτίμησης είναι τα ακίνητα ηλικίας άνω των 30 ετών σε ποσοστό 59% και η δεύτερη ακίνητα ηλικίας από 11 έως 15 έτη σε ποσοστό 13%. </w:t>
      </w:r>
      <w:r w:rsidR="00DB5D2F">
        <w:rPr>
          <w:rFonts w:ascii="Arial" w:hAnsi="Arial" w:cs="Arial"/>
          <w:sz w:val="24"/>
          <w:szCs w:val="24"/>
        </w:rPr>
        <w:t xml:space="preserve">Τα νεόδμητα ακίνητα που πωλήθηκαν αποτελούν το 4% του συνόλου των αγοραπωλησιών. </w:t>
      </w:r>
      <w:r w:rsidR="00C94D1C">
        <w:rPr>
          <w:rFonts w:ascii="Arial" w:hAnsi="Arial" w:cs="Arial"/>
          <w:sz w:val="24"/>
          <w:szCs w:val="24"/>
        </w:rPr>
        <w:t>(Γράφημα 7)</w:t>
      </w:r>
    </w:p>
    <w:p w:rsidR="00307FDF" w:rsidRPr="00EA20E3" w:rsidRDefault="00307FDF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t>Γράφημα 7</w:t>
      </w:r>
    </w:p>
    <w:p w:rsidR="006C590D" w:rsidRPr="00EA20E3" w:rsidRDefault="00233650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28" name="Γράφημα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15AF" w:rsidRDefault="000E15AF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lastRenderedPageBreak/>
        <w:t xml:space="preserve">Στις περιοχές της υπόλοιπης Ελλάδας (εκτός Αττικής και Θεσσαλονίκης), το 58% των αγοραστών </w:t>
      </w:r>
      <w:r w:rsidR="00EA0B10">
        <w:rPr>
          <w:sz w:val="24"/>
          <w:szCs w:val="24"/>
        </w:rPr>
        <w:t>προτίμησε</w:t>
      </w:r>
      <w:r w:rsidRPr="00EA20E3">
        <w:rPr>
          <w:sz w:val="24"/>
          <w:szCs w:val="24"/>
        </w:rPr>
        <w:t xml:space="preserve"> παλαιές κατοικίες (άνω των 25 ετών) και σε ποσοστό 3</w:t>
      </w:r>
      <w:r w:rsidR="003E2078" w:rsidRPr="003E2078">
        <w:rPr>
          <w:sz w:val="24"/>
          <w:szCs w:val="24"/>
        </w:rPr>
        <w:t>2</w:t>
      </w:r>
      <w:r w:rsidRPr="00EA20E3">
        <w:rPr>
          <w:sz w:val="24"/>
          <w:szCs w:val="24"/>
        </w:rPr>
        <w:t xml:space="preserve">% </w:t>
      </w:r>
      <w:r w:rsidR="0077549A">
        <w:rPr>
          <w:sz w:val="24"/>
          <w:szCs w:val="24"/>
        </w:rPr>
        <w:t>στις</w:t>
      </w:r>
      <w:r w:rsidRPr="00EA20E3">
        <w:rPr>
          <w:sz w:val="24"/>
          <w:szCs w:val="24"/>
        </w:rPr>
        <w:t xml:space="preserve"> κατοικίες από 11 έως 25 έτη (γράφημα 8).</w:t>
      </w:r>
    </w:p>
    <w:p w:rsidR="00444173" w:rsidRPr="00EA20E3" w:rsidRDefault="00444173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t>Γράφημα 8</w:t>
      </w:r>
    </w:p>
    <w:p w:rsidR="006400D1" w:rsidRPr="00EA20E3" w:rsidRDefault="007F0090" w:rsidP="00106E2D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29" name="Γράφημα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6400D1" w:rsidRPr="00EA20E3" w:rsidSect="00106E2D">
      <w:headerReference w:type="default" r:id="rId15"/>
      <w:footerReference w:type="default" r:id="rId16"/>
      <w:pgSz w:w="11900" w:h="16840"/>
      <w:pgMar w:top="1440" w:right="1127" w:bottom="113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C3" w:rsidRDefault="00AD35C3" w:rsidP="003072C9">
      <w:pPr>
        <w:spacing w:after="0" w:line="240" w:lineRule="auto"/>
      </w:pPr>
      <w:r>
        <w:separator/>
      </w:r>
    </w:p>
  </w:endnote>
  <w:endnote w:type="continuationSeparator" w:id="0">
    <w:p w:rsidR="00AD35C3" w:rsidRDefault="00AD35C3" w:rsidP="0030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A6" w:rsidRDefault="004A12A6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-333375</wp:posOffset>
          </wp:positionH>
          <wp:positionV relativeFrom="page">
            <wp:posOffset>10292715</wp:posOffset>
          </wp:positionV>
          <wp:extent cx="971550" cy="177800"/>
          <wp:effectExtent l="19050" t="0" r="0" b="0"/>
          <wp:wrapSquare wrapText="bothSides"/>
          <wp:docPr id="2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C3" w:rsidRDefault="00AD35C3" w:rsidP="003072C9">
      <w:pPr>
        <w:spacing w:after="0" w:line="240" w:lineRule="auto"/>
      </w:pPr>
      <w:r>
        <w:separator/>
      </w:r>
    </w:p>
  </w:footnote>
  <w:footnote w:type="continuationSeparator" w:id="0">
    <w:p w:rsidR="00AD35C3" w:rsidRDefault="00AD35C3" w:rsidP="0030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A6" w:rsidRDefault="004A12A6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5611495</wp:posOffset>
          </wp:positionH>
          <wp:positionV relativeFrom="paragraph">
            <wp:posOffset>-333375</wp:posOffset>
          </wp:positionV>
          <wp:extent cx="577850" cy="716280"/>
          <wp:effectExtent l="1905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113F"/>
    <w:rsid w:val="00000FAE"/>
    <w:rsid w:val="00013D44"/>
    <w:rsid w:val="00022F44"/>
    <w:rsid w:val="00027596"/>
    <w:rsid w:val="00030066"/>
    <w:rsid w:val="000427DA"/>
    <w:rsid w:val="00044F17"/>
    <w:rsid w:val="00054EC7"/>
    <w:rsid w:val="00066B12"/>
    <w:rsid w:val="000714F4"/>
    <w:rsid w:val="00086863"/>
    <w:rsid w:val="000A5687"/>
    <w:rsid w:val="000B0E32"/>
    <w:rsid w:val="000B1833"/>
    <w:rsid w:val="000B286B"/>
    <w:rsid w:val="000C55F8"/>
    <w:rsid w:val="000C7795"/>
    <w:rsid w:val="000E15AF"/>
    <w:rsid w:val="000F4A1C"/>
    <w:rsid w:val="000F716D"/>
    <w:rsid w:val="000F7D40"/>
    <w:rsid w:val="00106E2D"/>
    <w:rsid w:val="00115FD6"/>
    <w:rsid w:val="00123B1D"/>
    <w:rsid w:val="001343FE"/>
    <w:rsid w:val="00137565"/>
    <w:rsid w:val="001460AE"/>
    <w:rsid w:val="00163C61"/>
    <w:rsid w:val="001705A7"/>
    <w:rsid w:val="00176638"/>
    <w:rsid w:val="001949AC"/>
    <w:rsid w:val="001A7C16"/>
    <w:rsid w:val="001B355D"/>
    <w:rsid w:val="001C488A"/>
    <w:rsid w:val="001C5026"/>
    <w:rsid w:val="001C7D9C"/>
    <w:rsid w:val="001E4D8C"/>
    <w:rsid w:val="001E775A"/>
    <w:rsid w:val="001F76C8"/>
    <w:rsid w:val="0020780A"/>
    <w:rsid w:val="002141FF"/>
    <w:rsid w:val="00215656"/>
    <w:rsid w:val="00216F30"/>
    <w:rsid w:val="002267CD"/>
    <w:rsid w:val="002319A5"/>
    <w:rsid w:val="002326A3"/>
    <w:rsid w:val="00233650"/>
    <w:rsid w:val="00235794"/>
    <w:rsid w:val="00243BB5"/>
    <w:rsid w:val="002533A3"/>
    <w:rsid w:val="00261753"/>
    <w:rsid w:val="00263123"/>
    <w:rsid w:val="00266047"/>
    <w:rsid w:val="00273AD6"/>
    <w:rsid w:val="002760A1"/>
    <w:rsid w:val="00281268"/>
    <w:rsid w:val="00285AEA"/>
    <w:rsid w:val="002908A2"/>
    <w:rsid w:val="00290C3B"/>
    <w:rsid w:val="0029382F"/>
    <w:rsid w:val="002B2047"/>
    <w:rsid w:val="002B4071"/>
    <w:rsid w:val="002D026E"/>
    <w:rsid w:val="002D732E"/>
    <w:rsid w:val="002E0638"/>
    <w:rsid w:val="002E3172"/>
    <w:rsid w:val="002E36AD"/>
    <w:rsid w:val="002E74AB"/>
    <w:rsid w:val="002F38D2"/>
    <w:rsid w:val="00305B9E"/>
    <w:rsid w:val="003072C9"/>
    <w:rsid w:val="00307FDF"/>
    <w:rsid w:val="00314F74"/>
    <w:rsid w:val="00331626"/>
    <w:rsid w:val="003325E2"/>
    <w:rsid w:val="00334B4F"/>
    <w:rsid w:val="00335F25"/>
    <w:rsid w:val="003615CE"/>
    <w:rsid w:val="00376EB7"/>
    <w:rsid w:val="003857BA"/>
    <w:rsid w:val="0039102A"/>
    <w:rsid w:val="0039113F"/>
    <w:rsid w:val="00392AEB"/>
    <w:rsid w:val="003A07B5"/>
    <w:rsid w:val="003A709C"/>
    <w:rsid w:val="003A73A7"/>
    <w:rsid w:val="003B2103"/>
    <w:rsid w:val="003C4237"/>
    <w:rsid w:val="003D3509"/>
    <w:rsid w:val="003E2078"/>
    <w:rsid w:val="003E4F30"/>
    <w:rsid w:val="003E6708"/>
    <w:rsid w:val="0040668A"/>
    <w:rsid w:val="00407739"/>
    <w:rsid w:val="00423047"/>
    <w:rsid w:val="004264CF"/>
    <w:rsid w:val="00427EF1"/>
    <w:rsid w:val="004373DF"/>
    <w:rsid w:val="00444173"/>
    <w:rsid w:val="004504A7"/>
    <w:rsid w:val="004509BA"/>
    <w:rsid w:val="00452368"/>
    <w:rsid w:val="00460781"/>
    <w:rsid w:val="004736DC"/>
    <w:rsid w:val="00483F9A"/>
    <w:rsid w:val="004844B5"/>
    <w:rsid w:val="004A12A6"/>
    <w:rsid w:val="004A6952"/>
    <w:rsid w:val="004A73E4"/>
    <w:rsid w:val="004C22BC"/>
    <w:rsid w:val="004C48C5"/>
    <w:rsid w:val="004D3A0E"/>
    <w:rsid w:val="0050198D"/>
    <w:rsid w:val="00512238"/>
    <w:rsid w:val="00514C44"/>
    <w:rsid w:val="005259A5"/>
    <w:rsid w:val="00525A09"/>
    <w:rsid w:val="00526BF0"/>
    <w:rsid w:val="00526CD5"/>
    <w:rsid w:val="00527617"/>
    <w:rsid w:val="00537008"/>
    <w:rsid w:val="005425C1"/>
    <w:rsid w:val="00543C01"/>
    <w:rsid w:val="00544EB8"/>
    <w:rsid w:val="00547441"/>
    <w:rsid w:val="00555A2D"/>
    <w:rsid w:val="005670C2"/>
    <w:rsid w:val="00571592"/>
    <w:rsid w:val="005742EE"/>
    <w:rsid w:val="00595427"/>
    <w:rsid w:val="005A3880"/>
    <w:rsid w:val="005C11A0"/>
    <w:rsid w:val="005E1967"/>
    <w:rsid w:val="005F4BB5"/>
    <w:rsid w:val="00602B22"/>
    <w:rsid w:val="006138C0"/>
    <w:rsid w:val="00616D43"/>
    <w:rsid w:val="006243DF"/>
    <w:rsid w:val="006400D1"/>
    <w:rsid w:val="00642692"/>
    <w:rsid w:val="00642D05"/>
    <w:rsid w:val="00647482"/>
    <w:rsid w:val="00671ADA"/>
    <w:rsid w:val="00677898"/>
    <w:rsid w:val="006824A7"/>
    <w:rsid w:val="00682ACC"/>
    <w:rsid w:val="006933B3"/>
    <w:rsid w:val="006A1423"/>
    <w:rsid w:val="006A4A83"/>
    <w:rsid w:val="006B124F"/>
    <w:rsid w:val="006B7547"/>
    <w:rsid w:val="006C0D81"/>
    <w:rsid w:val="006C191D"/>
    <w:rsid w:val="006C590D"/>
    <w:rsid w:val="006C5BAE"/>
    <w:rsid w:val="006D6AB7"/>
    <w:rsid w:val="006E532C"/>
    <w:rsid w:val="006E641A"/>
    <w:rsid w:val="006F1DF5"/>
    <w:rsid w:val="006F39C7"/>
    <w:rsid w:val="00711C16"/>
    <w:rsid w:val="00713C98"/>
    <w:rsid w:val="00715694"/>
    <w:rsid w:val="00735E7A"/>
    <w:rsid w:val="00736142"/>
    <w:rsid w:val="00741661"/>
    <w:rsid w:val="00742AF4"/>
    <w:rsid w:val="007559D7"/>
    <w:rsid w:val="007572AC"/>
    <w:rsid w:val="00757D4D"/>
    <w:rsid w:val="00761306"/>
    <w:rsid w:val="00763849"/>
    <w:rsid w:val="0077549A"/>
    <w:rsid w:val="00781398"/>
    <w:rsid w:val="00792770"/>
    <w:rsid w:val="0079682F"/>
    <w:rsid w:val="007A142E"/>
    <w:rsid w:val="007B7574"/>
    <w:rsid w:val="007C0107"/>
    <w:rsid w:val="007C3F59"/>
    <w:rsid w:val="007D2F8E"/>
    <w:rsid w:val="007E2F91"/>
    <w:rsid w:val="007F0090"/>
    <w:rsid w:val="007F2770"/>
    <w:rsid w:val="007F3810"/>
    <w:rsid w:val="007F6E19"/>
    <w:rsid w:val="00813839"/>
    <w:rsid w:val="00816551"/>
    <w:rsid w:val="008171B0"/>
    <w:rsid w:val="008202AE"/>
    <w:rsid w:val="00821927"/>
    <w:rsid w:val="00825233"/>
    <w:rsid w:val="00826E40"/>
    <w:rsid w:val="00836A3F"/>
    <w:rsid w:val="00843F0D"/>
    <w:rsid w:val="008537E4"/>
    <w:rsid w:val="00860BA5"/>
    <w:rsid w:val="00862695"/>
    <w:rsid w:val="00873B6A"/>
    <w:rsid w:val="00875576"/>
    <w:rsid w:val="008778BB"/>
    <w:rsid w:val="008922EC"/>
    <w:rsid w:val="0089713F"/>
    <w:rsid w:val="00897C21"/>
    <w:rsid w:val="008B2248"/>
    <w:rsid w:val="008B24A1"/>
    <w:rsid w:val="008C0756"/>
    <w:rsid w:val="008C4F65"/>
    <w:rsid w:val="008D3196"/>
    <w:rsid w:val="008D557A"/>
    <w:rsid w:val="008E61A1"/>
    <w:rsid w:val="008E7405"/>
    <w:rsid w:val="009102B8"/>
    <w:rsid w:val="00912B6A"/>
    <w:rsid w:val="00915CA7"/>
    <w:rsid w:val="009208C1"/>
    <w:rsid w:val="009242BF"/>
    <w:rsid w:val="00926965"/>
    <w:rsid w:val="00930653"/>
    <w:rsid w:val="00936CBD"/>
    <w:rsid w:val="009376CA"/>
    <w:rsid w:val="00942A74"/>
    <w:rsid w:val="00953FCC"/>
    <w:rsid w:val="00954191"/>
    <w:rsid w:val="00960375"/>
    <w:rsid w:val="00962DCB"/>
    <w:rsid w:val="00985C11"/>
    <w:rsid w:val="0098603A"/>
    <w:rsid w:val="00986073"/>
    <w:rsid w:val="009A2311"/>
    <w:rsid w:val="009A619B"/>
    <w:rsid w:val="009A7479"/>
    <w:rsid w:val="009B6539"/>
    <w:rsid w:val="009B69EB"/>
    <w:rsid w:val="009C03CC"/>
    <w:rsid w:val="009C2444"/>
    <w:rsid w:val="009C3A63"/>
    <w:rsid w:val="009F2A43"/>
    <w:rsid w:val="009F5348"/>
    <w:rsid w:val="009F7AC1"/>
    <w:rsid w:val="00A04795"/>
    <w:rsid w:val="00A11424"/>
    <w:rsid w:val="00A160AA"/>
    <w:rsid w:val="00A20923"/>
    <w:rsid w:val="00A2133E"/>
    <w:rsid w:val="00A221AE"/>
    <w:rsid w:val="00A221E3"/>
    <w:rsid w:val="00A224A5"/>
    <w:rsid w:val="00A24233"/>
    <w:rsid w:val="00A24AED"/>
    <w:rsid w:val="00A24EB9"/>
    <w:rsid w:val="00A37A9D"/>
    <w:rsid w:val="00A41B9E"/>
    <w:rsid w:val="00A43F43"/>
    <w:rsid w:val="00A66129"/>
    <w:rsid w:val="00A8343A"/>
    <w:rsid w:val="00A83F3E"/>
    <w:rsid w:val="00A94D1B"/>
    <w:rsid w:val="00A97981"/>
    <w:rsid w:val="00AA0140"/>
    <w:rsid w:val="00AA48D9"/>
    <w:rsid w:val="00AB3D8D"/>
    <w:rsid w:val="00AB4DC8"/>
    <w:rsid w:val="00AC4256"/>
    <w:rsid w:val="00AD35C3"/>
    <w:rsid w:val="00AE22DC"/>
    <w:rsid w:val="00AE358D"/>
    <w:rsid w:val="00AF3824"/>
    <w:rsid w:val="00AF4E7B"/>
    <w:rsid w:val="00AF5A25"/>
    <w:rsid w:val="00B137AB"/>
    <w:rsid w:val="00B14802"/>
    <w:rsid w:val="00B24ACD"/>
    <w:rsid w:val="00B2544F"/>
    <w:rsid w:val="00B25600"/>
    <w:rsid w:val="00B27F03"/>
    <w:rsid w:val="00B3644D"/>
    <w:rsid w:val="00B41809"/>
    <w:rsid w:val="00B42D2B"/>
    <w:rsid w:val="00B4559D"/>
    <w:rsid w:val="00B704AA"/>
    <w:rsid w:val="00B77898"/>
    <w:rsid w:val="00B84AAB"/>
    <w:rsid w:val="00B974E7"/>
    <w:rsid w:val="00BA11F0"/>
    <w:rsid w:val="00BA26A2"/>
    <w:rsid w:val="00BA426F"/>
    <w:rsid w:val="00BB077B"/>
    <w:rsid w:val="00BB170D"/>
    <w:rsid w:val="00BB2FAF"/>
    <w:rsid w:val="00BB3955"/>
    <w:rsid w:val="00BB4095"/>
    <w:rsid w:val="00BB57FB"/>
    <w:rsid w:val="00BC7D1E"/>
    <w:rsid w:val="00BD3337"/>
    <w:rsid w:val="00BD60BD"/>
    <w:rsid w:val="00BD7C23"/>
    <w:rsid w:val="00BE4E61"/>
    <w:rsid w:val="00BF17A2"/>
    <w:rsid w:val="00BF5548"/>
    <w:rsid w:val="00C01B47"/>
    <w:rsid w:val="00C06338"/>
    <w:rsid w:val="00C34249"/>
    <w:rsid w:val="00C3587A"/>
    <w:rsid w:val="00C377CE"/>
    <w:rsid w:val="00C40C52"/>
    <w:rsid w:val="00C4682D"/>
    <w:rsid w:val="00C510BE"/>
    <w:rsid w:val="00C564AF"/>
    <w:rsid w:val="00C604E9"/>
    <w:rsid w:val="00C63D92"/>
    <w:rsid w:val="00C72EB1"/>
    <w:rsid w:val="00C92328"/>
    <w:rsid w:val="00C94D1C"/>
    <w:rsid w:val="00CB2334"/>
    <w:rsid w:val="00CB2F7E"/>
    <w:rsid w:val="00CC1E85"/>
    <w:rsid w:val="00CC3C12"/>
    <w:rsid w:val="00CE00DF"/>
    <w:rsid w:val="00CE2726"/>
    <w:rsid w:val="00CE6BA5"/>
    <w:rsid w:val="00CF2153"/>
    <w:rsid w:val="00CF68DB"/>
    <w:rsid w:val="00CF7450"/>
    <w:rsid w:val="00D109BE"/>
    <w:rsid w:val="00D250C1"/>
    <w:rsid w:val="00D257CC"/>
    <w:rsid w:val="00D334DB"/>
    <w:rsid w:val="00D35292"/>
    <w:rsid w:val="00D370E7"/>
    <w:rsid w:val="00D45767"/>
    <w:rsid w:val="00D461F2"/>
    <w:rsid w:val="00D53445"/>
    <w:rsid w:val="00D53F93"/>
    <w:rsid w:val="00D7018E"/>
    <w:rsid w:val="00D73AFD"/>
    <w:rsid w:val="00D818AA"/>
    <w:rsid w:val="00D83BF2"/>
    <w:rsid w:val="00D8617D"/>
    <w:rsid w:val="00D93D93"/>
    <w:rsid w:val="00DA36E0"/>
    <w:rsid w:val="00DA558C"/>
    <w:rsid w:val="00DB2E83"/>
    <w:rsid w:val="00DB5D2F"/>
    <w:rsid w:val="00DB6626"/>
    <w:rsid w:val="00DB6D5A"/>
    <w:rsid w:val="00DD36AF"/>
    <w:rsid w:val="00DD3E4D"/>
    <w:rsid w:val="00DD4989"/>
    <w:rsid w:val="00DD6842"/>
    <w:rsid w:val="00DD6947"/>
    <w:rsid w:val="00DE1F8E"/>
    <w:rsid w:val="00DE411C"/>
    <w:rsid w:val="00DE5501"/>
    <w:rsid w:val="00E0169F"/>
    <w:rsid w:val="00E11223"/>
    <w:rsid w:val="00E12AD5"/>
    <w:rsid w:val="00E13517"/>
    <w:rsid w:val="00E21D07"/>
    <w:rsid w:val="00E230CC"/>
    <w:rsid w:val="00E26AF5"/>
    <w:rsid w:val="00E30B88"/>
    <w:rsid w:val="00E32A2C"/>
    <w:rsid w:val="00E41184"/>
    <w:rsid w:val="00E47413"/>
    <w:rsid w:val="00E566E2"/>
    <w:rsid w:val="00E6032B"/>
    <w:rsid w:val="00E61B05"/>
    <w:rsid w:val="00E636FC"/>
    <w:rsid w:val="00E6634C"/>
    <w:rsid w:val="00E70925"/>
    <w:rsid w:val="00E769FD"/>
    <w:rsid w:val="00E76E84"/>
    <w:rsid w:val="00E83254"/>
    <w:rsid w:val="00E91C83"/>
    <w:rsid w:val="00EA0B10"/>
    <w:rsid w:val="00EA1598"/>
    <w:rsid w:val="00EA20E3"/>
    <w:rsid w:val="00EA2371"/>
    <w:rsid w:val="00EA3491"/>
    <w:rsid w:val="00EC2CA9"/>
    <w:rsid w:val="00EC5C23"/>
    <w:rsid w:val="00EC614A"/>
    <w:rsid w:val="00ED70BD"/>
    <w:rsid w:val="00EE3ABD"/>
    <w:rsid w:val="00EE7086"/>
    <w:rsid w:val="00EE7CBE"/>
    <w:rsid w:val="00EF0ACF"/>
    <w:rsid w:val="00EF49E1"/>
    <w:rsid w:val="00EF7138"/>
    <w:rsid w:val="00F01E1E"/>
    <w:rsid w:val="00F1413E"/>
    <w:rsid w:val="00F22DFA"/>
    <w:rsid w:val="00F26BD7"/>
    <w:rsid w:val="00F37440"/>
    <w:rsid w:val="00F53C24"/>
    <w:rsid w:val="00F608EC"/>
    <w:rsid w:val="00F636C8"/>
    <w:rsid w:val="00F67717"/>
    <w:rsid w:val="00F71120"/>
    <w:rsid w:val="00F7371D"/>
    <w:rsid w:val="00F83CA6"/>
    <w:rsid w:val="00F8534C"/>
    <w:rsid w:val="00F86214"/>
    <w:rsid w:val="00FA4307"/>
    <w:rsid w:val="00FA7766"/>
    <w:rsid w:val="00FA7CEC"/>
    <w:rsid w:val="00FB04CF"/>
    <w:rsid w:val="00FB7D01"/>
    <w:rsid w:val="00FC173D"/>
    <w:rsid w:val="00FC257F"/>
    <w:rsid w:val="00FD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9113F"/>
    <w:pPr>
      <w:spacing w:after="200" w:line="276" w:lineRule="auto"/>
    </w:pPr>
    <w:rPr>
      <w:rFonts w:eastAsia="Calibri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3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13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13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Πολύχρωμη λίστα - ΄Εμφαση 11"/>
    <w:basedOn w:val="Normal"/>
    <w:uiPriority w:val="34"/>
    <w:qFormat/>
    <w:rsid w:val="0039113F"/>
    <w:pPr>
      <w:ind w:left="720"/>
      <w:contextualSpacing/>
    </w:pPr>
    <w:rPr>
      <w:rFonts w:ascii="Calibri" w:hAnsi="Calibri" w:cs="Times New Roman"/>
    </w:rPr>
  </w:style>
  <w:style w:type="paragraph" w:customStyle="1" w:styleId="DocumentTitle">
    <w:name w:val="Document Title"/>
    <w:basedOn w:val="Title"/>
    <w:qFormat/>
    <w:rsid w:val="0039113F"/>
    <w:pPr>
      <w:pBdr>
        <w:bottom w:val="none" w:sz="0" w:space="0" w:color="auto"/>
      </w:pBdr>
      <w:spacing w:after="680" w:line="204" w:lineRule="auto"/>
      <w:ind w:right="1418"/>
    </w:pPr>
    <w:rPr>
      <w:rFonts w:ascii="Cambria" w:eastAsia="Times New Roman" w:hAnsi="Cambria"/>
      <w:b/>
      <w:color w:val="C0504D"/>
      <w:spacing w:val="0"/>
      <w:kern w:val="0"/>
      <w:sz w:val="88"/>
      <w:szCs w:val="74"/>
      <w:lang w:val="en-GB"/>
    </w:rPr>
  </w:style>
  <w:style w:type="character" w:styleId="Hyperlink">
    <w:name w:val="Hyperlink"/>
    <w:uiPriority w:val="99"/>
    <w:unhideWhenUsed/>
    <w:rsid w:val="0039113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911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9113F"/>
    <w:rPr>
      <w:rFonts w:ascii="Calibri" w:eastAsia="MS Gothic" w:hAnsi="Calibri" w:cs="Times New Roman"/>
      <w:color w:val="17365D"/>
      <w:spacing w:val="5"/>
      <w:kern w:val="28"/>
      <w:sz w:val="52"/>
      <w:szCs w:val="52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3072C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072C9"/>
    <w:rPr>
      <w:rFonts w:eastAsia="Calibri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2C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072C9"/>
    <w:rPr>
      <w:rFonts w:eastAsia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9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559D"/>
    <w:rPr>
      <w:rFonts w:ascii="Segoe UI" w:eastAsia="Calibr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09B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13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13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813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8139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8139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7813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781398"/>
    <w:rPr>
      <w:rFonts w:eastAsia="Calibri" w:cs="Arial"/>
      <w:i/>
      <w:iCs/>
      <w:color w:val="4F81BD" w:themeColor="accent1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4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49A"/>
    <w:rPr>
      <w:rFonts w:eastAsia="Calibri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549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4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1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Κατανομή κατά είδος των πωληθέντων ακινήτων 20</a:t>
            </a:r>
            <a:r>
              <a:rPr lang="en-US"/>
              <a:t>20</a:t>
            </a:r>
            <a:r>
              <a:rPr lang="el-GR"/>
              <a:t> | Πανελλαδικά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Πωλήσεις</c:v>
                </c:pt>
              </c:strCache>
            </c:strRef>
          </c:tx>
          <c:explosion val="58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FD-4BFF-BEE4-202132551F95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8FD-4BFF-BEE4-202132551F95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8FD-4BFF-BEE4-202132551F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Φύλλο1!$A$2:$A$4</c:f>
              <c:strCache>
                <c:ptCount val="3"/>
                <c:pt idx="0">
                  <c:v>Κατοικίες</c:v>
                </c:pt>
                <c:pt idx="1">
                  <c:v>Οικόπεδο - Αγροτεμάχιο</c:v>
                </c:pt>
                <c:pt idx="2">
                  <c:v>Επαγγελματικά</c:v>
                </c:pt>
              </c:strCache>
            </c:strRef>
          </c:cat>
          <c:val>
            <c:numRef>
              <c:f>Φύλλο1!$B$2:$B$4</c:f>
              <c:numCache>
                <c:formatCode>General</c:formatCode>
                <c:ptCount val="3"/>
                <c:pt idx="0">
                  <c:v>84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4B-480B-B283-CE8F2C35CC29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787547389909594"/>
          <c:y val="0.81795588051493562"/>
          <c:w val="0.65369349664625298"/>
          <c:h val="0.1582345956755405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Κατανομή κατά είδος των πωληθέντων ακινήτων 20</a:t>
            </a:r>
            <a:r>
              <a:rPr lang="en-US"/>
              <a:t>20</a:t>
            </a:r>
            <a:r>
              <a:rPr lang="el-GR"/>
              <a:t> | Αττική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Πωλήσεις</c:v>
                </c:pt>
              </c:strCache>
            </c:strRef>
          </c:tx>
          <c:explosion val="58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DE-4748-AD60-5884024721D6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DE-4748-AD60-5884024721D6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DE-4748-AD60-5884024721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Φύλλο1!$A$2:$A$4</c:f>
              <c:strCache>
                <c:ptCount val="3"/>
                <c:pt idx="0">
                  <c:v>Κατοικίες</c:v>
                </c:pt>
                <c:pt idx="1">
                  <c:v>Οικόπεδο - Αγροτεμάχιο</c:v>
                </c:pt>
                <c:pt idx="2">
                  <c:v>Επαγγελματικά</c:v>
                </c:pt>
              </c:strCache>
            </c:strRef>
          </c:cat>
          <c:val>
            <c:numRef>
              <c:f>Φύλλο1!$B$2:$B$4</c:f>
              <c:numCache>
                <c:formatCode>General</c:formatCode>
                <c:ptCount val="3"/>
                <c:pt idx="0">
                  <c:v>82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3DE-4748-AD60-5884024721D6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787547389909594"/>
          <c:y val="0.84176540432445979"/>
          <c:w val="0.59119349664625254"/>
          <c:h val="0.1344250718660167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Κατανομή κατά είδος των πωληθέντων ακινήτων 20</a:t>
            </a:r>
            <a:r>
              <a:rPr lang="en-US"/>
              <a:t>20</a:t>
            </a:r>
            <a:r>
              <a:rPr lang="el-GR"/>
              <a:t> | Θεσσαλονίκη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Πωλήσεις</c:v>
                </c:pt>
              </c:strCache>
            </c:strRef>
          </c:tx>
          <c:explosion val="58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A2-47D0-86E4-FA876B03D5BA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A2-47D0-86E4-FA876B03D5BA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5A2-47D0-86E4-FA876B03D5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Φύλλο1!$A$2:$A$4</c:f>
              <c:strCache>
                <c:ptCount val="3"/>
                <c:pt idx="0">
                  <c:v>Κατοικίες</c:v>
                </c:pt>
                <c:pt idx="1">
                  <c:v>Οικόπεδο - Αγροτεμάχιο</c:v>
                </c:pt>
                <c:pt idx="2">
                  <c:v>Επαγγελματικά</c:v>
                </c:pt>
              </c:strCache>
            </c:strRef>
          </c:cat>
          <c:val>
            <c:numRef>
              <c:f>Φύλλο1!$B$2:$B$4</c:f>
              <c:numCache>
                <c:formatCode>General</c:formatCode>
                <c:ptCount val="3"/>
                <c:pt idx="0">
                  <c:v>94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5A2-47D0-86E4-FA876B03D5BA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787547389909594"/>
          <c:y val="0.81795588051493562"/>
          <c:w val="0.65369349664625298"/>
          <c:h val="0.1582345956755405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Κατανομή κατά είδος των πωληθέντων ακινήτων 20</a:t>
            </a:r>
            <a:r>
              <a:rPr lang="en-US"/>
              <a:t>20</a:t>
            </a:r>
            <a:r>
              <a:rPr lang="el-GR"/>
              <a:t> | Υπόλοιπη</a:t>
            </a:r>
            <a:r>
              <a:rPr lang="el-GR" baseline="0"/>
              <a:t> Ελλάδα</a:t>
            </a:r>
            <a:endParaRPr lang="el-GR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Πωλήσεις</c:v>
                </c:pt>
              </c:strCache>
            </c:strRef>
          </c:tx>
          <c:explosion val="58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42-40F6-9037-97B4EC970C9B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B42-40F6-9037-97B4EC970C9B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B42-40F6-9037-97B4EC970C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Φύλλο1!$A$2:$A$4</c:f>
              <c:strCache>
                <c:ptCount val="3"/>
                <c:pt idx="0">
                  <c:v>Κατοικίες</c:v>
                </c:pt>
                <c:pt idx="1">
                  <c:v>Οικόπεδο - Αγροτεμάχιο</c:v>
                </c:pt>
                <c:pt idx="2">
                  <c:v>Επαγγελματικά</c:v>
                </c:pt>
              </c:strCache>
            </c:strRef>
          </c:cat>
          <c:val>
            <c:numRef>
              <c:f>Φύλλο1!$B$2:$B$4</c:f>
              <c:numCache>
                <c:formatCode>General</c:formatCode>
                <c:ptCount val="3"/>
                <c:pt idx="0">
                  <c:v>79</c:v>
                </c:pt>
                <c:pt idx="1">
                  <c:v>17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B42-40F6-9037-97B4EC970C9B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787547389909594"/>
          <c:y val="0.81795588051493562"/>
          <c:w val="0.65369349664625298"/>
          <c:h val="0.1582345956755405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Κατανομή με βάση την ηλικία των πωληθέντων κατοικιών το 2020  Πανελλαδικά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Φύλλο1!$A$2:$A$9</c:f>
              <c:strCache>
                <c:ptCount val="8"/>
                <c:pt idx="0">
                  <c:v>Νεόδμητο</c:v>
                </c:pt>
                <c:pt idx="1">
                  <c:v>1-5 έτη</c:v>
                </c:pt>
                <c:pt idx="2">
                  <c:v>6-10 έτη</c:v>
                </c:pt>
                <c:pt idx="3">
                  <c:v>11-15 έτη</c:v>
                </c:pt>
                <c:pt idx="4">
                  <c:v>16-20 έτη</c:v>
                </c:pt>
                <c:pt idx="5">
                  <c:v>21-25 έτη</c:v>
                </c:pt>
                <c:pt idx="6">
                  <c:v>26-30 έτη</c:v>
                </c:pt>
                <c:pt idx="7">
                  <c:v>30 έτη και άνω</c:v>
                </c:pt>
              </c:strCache>
            </c:strRef>
          </c:cat>
          <c:val>
            <c:numRef>
              <c:f>Φύλλο1!$B$2:$B$9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11</c:v>
                </c:pt>
                <c:pt idx="7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EC-4CC3-86DC-9E489A54AECF}"/>
            </c:ext>
          </c:extLst>
        </c:ser>
        <c:dLbls>
          <c:showVal val="1"/>
        </c:dLbls>
        <c:gapWidth val="65"/>
        <c:axId val="150526208"/>
        <c:axId val="150843392"/>
      </c:barChart>
      <c:catAx>
        <c:axId val="1505262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843392"/>
        <c:crosses val="autoZero"/>
        <c:auto val="1"/>
        <c:lblAlgn val="ctr"/>
        <c:lblOffset val="100"/>
      </c:catAx>
      <c:valAx>
        <c:axId val="150843392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526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Κατανομή με βάση την ηλικία των πωληθέντων κατοικιών το 2020                      Αττική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Φύλλο1!$A$2:$A$9</c:f>
              <c:strCache>
                <c:ptCount val="8"/>
                <c:pt idx="0">
                  <c:v>Νεόδμητο</c:v>
                </c:pt>
                <c:pt idx="1">
                  <c:v>1-5 έτη</c:v>
                </c:pt>
                <c:pt idx="2">
                  <c:v>6-10 έτη</c:v>
                </c:pt>
                <c:pt idx="3">
                  <c:v>11-15 έτη</c:v>
                </c:pt>
                <c:pt idx="4">
                  <c:v>16-20 έτη</c:v>
                </c:pt>
                <c:pt idx="5">
                  <c:v>21-25 έτη</c:v>
                </c:pt>
                <c:pt idx="6">
                  <c:v>26-30 έτη</c:v>
                </c:pt>
                <c:pt idx="7">
                  <c:v>30 έτη και άνω</c:v>
                </c:pt>
              </c:strCache>
            </c:strRef>
          </c:cat>
          <c:val>
            <c:numRef>
              <c:f>Φύλλο1!$B$2:$B$9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11</c:v>
                </c:pt>
                <c:pt idx="7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7A-41C5-BE8B-992172EF786D}"/>
            </c:ext>
          </c:extLst>
        </c:ser>
        <c:dLbls>
          <c:showVal val="1"/>
        </c:dLbls>
        <c:gapWidth val="65"/>
        <c:axId val="136679808"/>
        <c:axId val="136681344"/>
      </c:barChart>
      <c:catAx>
        <c:axId val="1366798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681344"/>
        <c:crosses val="autoZero"/>
        <c:auto val="1"/>
        <c:lblAlgn val="ctr"/>
        <c:lblOffset val="100"/>
      </c:catAx>
      <c:valAx>
        <c:axId val="136681344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67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Κατανομή με βάση την ηλικία των πωληθέντων κατοικιών το 2020  Θεσσαλονίκη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Φύλλο1!$A$2:$A$9</c:f>
              <c:strCache>
                <c:ptCount val="8"/>
                <c:pt idx="0">
                  <c:v>Νεόδμητο</c:v>
                </c:pt>
                <c:pt idx="1">
                  <c:v>1-5 έτη</c:v>
                </c:pt>
                <c:pt idx="2">
                  <c:v>6-10 έτη</c:v>
                </c:pt>
                <c:pt idx="3">
                  <c:v>11-15 έτη</c:v>
                </c:pt>
                <c:pt idx="4">
                  <c:v>16-20 έτη</c:v>
                </c:pt>
                <c:pt idx="5">
                  <c:v>21-25 έτη</c:v>
                </c:pt>
                <c:pt idx="6">
                  <c:v>26-30 έτη</c:v>
                </c:pt>
                <c:pt idx="7">
                  <c:v>30 έτη και άνω</c:v>
                </c:pt>
              </c:strCache>
            </c:strRef>
          </c:cat>
          <c:val>
            <c:numRef>
              <c:f>Φύλλο1!$B$2:$B$9</c:f>
              <c:numCache>
                <c:formatCode>General</c:formatCode>
                <c:ptCount val="8"/>
                <c:pt idx="0">
                  <c:v>4</c:v>
                </c:pt>
                <c:pt idx="1">
                  <c:v>1</c:v>
                </c:pt>
                <c:pt idx="2">
                  <c:v>5</c:v>
                </c:pt>
                <c:pt idx="3">
                  <c:v>13</c:v>
                </c:pt>
                <c:pt idx="4">
                  <c:v>8</c:v>
                </c:pt>
                <c:pt idx="5">
                  <c:v>2</c:v>
                </c:pt>
                <c:pt idx="6">
                  <c:v>8</c:v>
                </c:pt>
                <c:pt idx="7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A5-4057-8383-45608798EE7D}"/>
            </c:ext>
          </c:extLst>
        </c:ser>
        <c:dLbls>
          <c:showVal val="1"/>
        </c:dLbls>
        <c:gapWidth val="65"/>
        <c:axId val="152774912"/>
        <c:axId val="152813568"/>
      </c:barChart>
      <c:catAx>
        <c:axId val="1527749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813568"/>
        <c:crosses val="autoZero"/>
        <c:auto val="1"/>
        <c:lblAlgn val="ctr"/>
        <c:lblOffset val="100"/>
      </c:catAx>
      <c:valAx>
        <c:axId val="152813568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77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Κατανομή με βάση την ηλικία των πωληθέντων κατοικιών το 2020            Υπόλοιπη</a:t>
            </a:r>
            <a:r>
              <a:rPr lang="el-GR" baseline="0"/>
              <a:t> Ελλάδα</a:t>
            </a:r>
            <a:endParaRPr lang="el-GR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Φύλλο1!$A$2:$A$9</c:f>
              <c:strCache>
                <c:ptCount val="8"/>
                <c:pt idx="0">
                  <c:v>Νεόδμητο</c:v>
                </c:pt>
                <c:pt idx="1">
                  <c:v>1-5 έτη</c:v>
                </c:pt>
                <c:pt idx="2">
                  <c:v>6-10 έτη</c:v>
                </c:pt>
                <c:pt idx="3">
                  <c:v>11-15 έτη</c:v>
                </c:pt>
                <c:pt idx="4">
                  <c:v>16-20 έτη</c:v>
                </c:pt>
                <c:pt idx="5">
                  <c:v>21-25 έτη</c:v>
                </c:pt>
                <c:pt idx="6">
                  <c:v>26-30 έτη</c:v>
                </c:pt>
                <c:pt idx="7">
                  <c:v>30 έτη και άνω</c:v>
                </c:pt>
              </c:strCache>
            </c:strRef>
          </c:cat>
          <c:val>
            <c:numRef>
              <c:f>Φύλλο1!$B$2:$B$9</c:f>
              <c:numCache>
                <c:formatCode>General</c:formatCode>
                <c:ptCount val="8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11</c:v>
                </c:pt>
                <c:pt idx="4">
                  <c:v>11</c:v>
                </c:pt>
                <c:pt idx="5">
                  <c:v>10</c:v>
                </c:pt>
                <c:pt idx="6">
                  <c:v>12</c:v>
                </c:pt>
                <c:pt idx="7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F8-4A37-95DF-352432C754FE}"/>
            </c:ext>
          </c:extLst>
        </c:ser>
        <c:dLbls>
          <c:showVal val="1"/>
        </c:dLbls>
        <c:gapWidth val="65"/>
        <c:axId val="157356416"/>
        <c:axId val="157357952"/>
      </c:barChart>
      <c:catAx>
        <c:axId val="1573564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357952"/>
        <c:crosses val="autoZero"/>
        <c:auto val="1"/>
        <c:lblAlgn val="ctr"/>
        <c:lblOffset val="100"/>
      </c:catAx>
      <c:valAx>
        <c:axId val="157357952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35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920D-AD85-4389-9325-4B3F6F26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remax</Company>
  <LinksUpToDate>false</LinksUpToDate>
  <CharactersWithSpaces>4175</CharactersWithSpaces>
  <SharedDoc>false</SharedDoc>
  <HLinks>
    <vt:vector size="6" baseType="variant">
      <vt:variant>
        <vt:i4>3735672</vt:i4>
      </vt:variant>
      <vt:variant>
        <vt:i4>0</vt:i4>
      </vt:variant>
      <vt:variant>
        <vt:i4>0</vt:i4>
      </vt:variant>
      <vt:variant>
        <vt:i4>5</vt:i4>
      </vt:variant>
      <vt:variant>
        <vt:lpwstr>http://www.statistics.gr/el/statistics/-/publication/SJU24/2016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remaxgreece</dc:creator>
  <cp:lastModifiedBy>Smaro</cp:lastModifiedBy>
  <cp:revision>2</cp:revision>
  <cp:lastPrinted>2021-05-18T10:29:00Z</cp:lastPrinted>
  <dcterms:created xsi:type="dcterms:W3CDTF">2021-05-26T06:22:00Z</dcterms:created>
  <dcterms:modified xsi:type="dcterms:W3CDTF">2021-05-26T06:22:00Z</dcterms:modified>
</cp:coreProperties>
</file>